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17DC6" w14:textId="5412DBBF" w:rsidR="00A55FFE" w:rsidRDefault="00A55FFE" w:rsidP="00A55FFE">
      <w:pPr>
        <w:pStyle w:val="Header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/>
        </w:rPr>
        <w:t>3GPP TSG-RAN WG3 #</w:t>
      </w:r>
      <w:r>
        <w:rPr>
          <w:rFonts w:cs="Arial"/>
          <w:sz w:val="24"/>
          <w:szCs w:val="24"/>
          <w:lang w:val="en-US" w:eastAsia="zh-CN"/>
        </w:rPr>
        <w:t>11</w:t>
      </w:r>
      <w:r w:rsidR="000330D2">
        <w:rPr>
          <w:rFonts w:cs="Arial"/>
          <w:sz w:val="24"/>
          <w:szCs w:val="24"/>
          <w:lang w:val="en-US" w:eastAsia="zh-CN"/>
        </w:rPr>
        <w:t>9</w:t>
      </w:r>
      <w:r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cs="Arial" w:hint="eastAsia"/>
          <w:sz w:val="24"/>
          <w:szCs w:val="24"/>
          <w:lang w:val="en-US" w:eastAsia="zh-CN"/>
        </w:rPr>
        <w:t xml:space="preserve">  </w:t>
      </w:r>
      <w:r>
        <w:rPr>
          <w:rFonts w:cs="Arial"/>
          <w:sz w:val="24"/>
          <w:szCs w:val="24"/>
          <w:lang w:val="en-US" w:eastAsia="zh-CN"/>
        </w:rPr>
        <w:t xml:space="preserve">  </w:t>
      </w:r>
      <w:r>
        <w:rPr>
          <w:rFonts w:cs="Arial"/>
          <w:sz w:val="24"/>
          <w:szCs w:val="24"/>
          <w:lang w:val="en-US"/>
        </w:rPr>
        <w:t>R3-</w:t>
      </w:r>
      <w:r w:rsidR="006B3C06" w:rsidRPr="006B3C06">
        <w:rPr>
          <w:rFonts w:cs="Arial"/>
          <w:sz w:val="24"/>
          <w:szCs w:val="24"/>
          <w:lang w:val="en-US"/>
        </w:rPr>
        <w:t>230088</w:t>
      </w:r>
    </w:p>
    <w:p w14:paraId="2DEE0104" w14:textId="77777777" w:rsidR="000330D2" w:rsidRPr="000330D2" w:rsidRDefault="000330D2" w:rsidP="000330D2">
      <w:pPr>
        <w:pStyle w:val="Header"/>
        <w:rPr>
          <w:rFonts w:cs="Arial"/>
          <w:sz w:val="24"/>
          <w:szCs w:val="24"/>
          <w:lang w:val="en-US" w:eastAsia="zh-CN"/>
        </w:rPr>
      </w:pPr>
      <w:r w:rsidRPr="000330D2">
        <w:rPr>
          <w:rFonts w:cs="Arial"/>
          <w:sz w:val="24"/>
          <w:szCs w:val="24"/>
          <w:lang w:val="en-US" w:eastAsia="zh-CN"/>
        </w:rPr>
        <w:t>27th Feb – 3rd Mar 2023</w:t>
      </w:r>
    </w:p>
    <w:p w14:paraId="5AEBB678" w14:textId="1BD1A1D8" w:rsidR="000330D2" w:rsidRDefault="000330D2" w:rsidP="000330D2">
      <w:pPr>
        <w:pStyle w:val="Header"/>
        <w:rPr>
          <w:rFonts w:cs="Arial"/>
          <w:sz w:val="24"/>
          <w:szCs w:val="24"/>
          <w:lang w:val="en-US" w:eastAsia="zh-CN"/>
        </w:rPr>
      </w:pPr>
      <w:r w:rsidRPr="000330D2">
        <w:rPr>
          <w:rFonts w:cs="Arial"/>
          <w:sz w:val="24"/>
          <w:szCs w:val="24"/>
          <w:lang w:val="en-US" w:eastAsia="zh-CN"/>
        </w:rPr>
        <w:t>Athens, Greece</w:t>
      </w:r>
    </w:p>
    <w:p w14:paraId="7FB2EE77" w14:textId="745DB6C4" w:rsidR="00A55FFE" w:rsidRDefault="00A55FFE" w:rsidP="000D4F44">
      <w:pPr>
        <w:pStyle w:val="Header"/>
        <w:rPr>
          <w:rFonts w:cs="Arial"/>
          <w:sz w:val="24"/>
          <w:szCs w:val="24"/>
          <w:lang w:val="en-US" w:eastAsia="zh-CN"/>
        </w:rPr>
      </w:pP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C8CA19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50FD4">
        <w:rPr>
          <w:rFonts w:cs="Arial"/>
          <w:b/>
          <w:bCs/>
          <w:sz w:val="24"/>
        </w:rPr>
        <w:t>9.2.5</w:t>
      </w:r>
    </w:p>
    <w:p w14:paraId="73188B46" w14:textId="7A92E474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r w:rsidR="00F50183">
        <w:rPr>
          <w:rFonts w:ascii="Arial" w:hAnsi="Arial" w:cs="Arial"/>
          <w:b/>
          <w:bCs/>
          <w:sz w:val="24"/>
        </w:rPr>
        <w:t>, Qualcomm, CATT</w:t>
      </w:r>
      <w:r w:rsidR="00A72E7A">
        <w:rPr>
          <w:rFonts w:ascii="Arial" w:hAnsi="Arial" w:cs="Arial"/>
          <w:b/>
          <w:bCs/>
          <w:sz w:val="24"/>
        </w:rPr>
        <w:t>, Huawei</w:t>
      </w:r>
      <w:r w:rsidR="007C1F5E" w:rsidRPr="007C1F5E">
        <w:rPr>
          <w:rFonts w:ascii="Arial" w:hAnsi="Arial" w:cs="Arial"/>
          <w:b/>
          <w:bCs/>
          <w:sz w:val="24"/>
        </w:rPr>
        <w:t>, Samsung</w:t>
      </w:r>
      <w:r w:rsidR="00493D3F">
        <w:rPr>
          <w:rFonts w:ascii="Arial" w:hAnsi="Arial" w:cs="Arial"/>
          <w:b/>
          <w:bCs/>
          <w:sz w:val="24"/>
        </w:rPr>
        <w:t>, Ericsson</w:t>
      </w:r>
    </w:p>
    <w:p w14:paraId="553D264F" w14:textId="0944F100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32F17">
        <w:rPr>
          <w:rFonts w:ascii="Arial" w:hAnsi="Arial" w:cs="Arial"/>
          <w:b/>
          <w:bCs/>
          <w:sz w:val="24"/>
        </w:rPr>
        <w:t xml:space="preserve">Discussion on </w:t>
      </w:r>
      <w:r w:rsidR="00F662DB">
        <w:rPr>
          <w:rFonts w:ascii="Arial" w:hAnsi="Arial" w:cs="Arial"/>
          <w:b/>
          <w:bCs/>
          <w:sz w:val="24"/>
        </w:rPr>
        <w:t>the IAB-donor behavio</w:t>
      </w:r>
      <w:r w:rsidR="004A65AD">
        <w:rPr>
          <w:rFonts w:ascii="Arial" w:hAnsi="Arial" w:cs="Arial"/>
          <w:b/>
          <w:bCs/>
          <w:sz w:val="24"/>
        </w:rPr>
        <w:t>u</w:t>
      </w:r>
      <w:r w:rsidR="00F662DB">
        <w:rPr>
          <w:rFonts w:ascii="Arial" w:hAnsi="Arial" w:cs="Arial"/>
          <w:b/>
          <w:bCs/>
          <w:sz w:val="24"/>
        </w:rPr>
        <w:t>r for IAB Authorized IE</w:t>
      </w:r>
      <w:r w:rsidR="00647883" w:rsidRPr="00647883">
        <w:rPr>
          <w:rFonts w:ascii="Arial" w:hAnsi="Arial" w:cs="Arial"/>
          <w:b/>
          <w:bCs/>
          <w:sz w:val="24"/>
        </w:rPr>
        <w:t xml:space="preserve"> 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16AF44" w14:textId="6D582828" w:rsidR="00401AE9" w:rsidRDefault="009E5E5C" w:rsidP="00401AE9">
      <w:r>
        <w:t>U</w:t>
      </w:r>
      <w:r w:rsidR="00211087">
        <w:t xml:space="preserve">pon the reception of the </w:t>
      </w:r>
      <w:r w:rsidR="00211087" w:rsidRPr="00211087">
        <w:rPr>
          <w:i/>
          <w:iCs/>
        </w:rPr>
        <w:t>IAB Authorized</w:t>
      </w:r>
      <w:r w:rsidR="00211087">
        <w:t xml:space="preserve"> IE, </w:t>
      </w:r>
      <w:r>
        <w:t xml:space="preserve">current </w:t>
      </w:r>
      <w:r w:rsidR="00072152">
        <w:t>NGAP/S1AP</w:t>
      </w:r>
      <w:r>
        <w:t xml:space="preserve"> only defines the </w:t>
      </w:r>
      <w:r w:rsidR="00072152">
        <w:t xml:space="preserve">RAN node </w:t>
      </w:r>
      <w:r>
        <w:t>to “</w:t>
      </w:r>
      <w:r w:rsidRPr="002F24E7">
        <w:rPr>
          <w:u w:val="single"/>
        </w:rPr>
        <w:t>store</w:t>
      </w:r>
      <w:r w:rsidRPr="009E5E5C">
        <w:t xml:space="preserve"> the received IAB Authorization information in the UE context;</w:t>
      </w:r>
      <w:r>
        <w:t>”</w:t>
      </w:r>
      <w:r w:rsidR="00E52554">
        <w:t xml:space="preserve"> </w:t>
      </w:r>
      <w:r w:rsidR="002F24E7">
        <w:t xml:space="preserve">This can cause some issue. </w:t>
      </w:r>
      <w:r w:rsidR="00401AE9">
        <w:t xml:space="preserve">This contribution </w:t>
      </w:r>
      <w:r w:rsidR="00A37EC7">
        <w:t xml:space="preserve">provides </w:t>
      </w:r>
      <w:r w:rsidR="002B3018">
        <w:t xml:space="preserve">an </w:t>
      </w:r>
      <w:r w:rsidR="00A37EC7">
        <w:t>analysis</w:t>
      </w:r>
      <w:r w:rsidR="00401AE9">
        <w:t>.</w:t>
      </w:r>
    </w:p>
    <w:p w14:paraId="7D484B6E" w14:textId="365927D1" w:rsidR="009339CB" w:rsidRDefault="007E0D10" w:rsidP="007E0D10">
      <w:pPr>
        <w:pStyle w:val="Heading1"/>
      </w:pPr>
      <w:r>
        <w:t>2</w:t>
      </w:r>
      <w:r>
        <w:tab/>
      </w:r>
      <w:r w:rsidR="00933475">
        <w:t>Discussion</w:t>
      </w:r>
    </w:p>
    <w:p w14:paraId="15593CD8" w14:textId="736B0718" w:rsidR="007E0D10" w:rsidRPr="007E0D10" w:rsidRDefault="007E0D10" w:rsidP="007E0D10">
      <w:pPr>
        <w:rPr>
          <w:b/>
          <w:bCs/>
        </w:rPr>
      </w:pPr>
      <w:r w:rsidRPr="007E0D10">
        <w:rPr>
          <w:b/>
          <w:bCs/>
        </w:rPr>
        <w:t>General Principle for Stage-3 specification</w:t>
      </w:r>
    </w:p>
    <w:p w14:paraId="3CD8000D" w14:textId="02577761" w:rsidR="007E0D10" w:rsidRDefault="007E0D10" w:rsidP="007E0D10">
      <w:pPr>
        <w:spacing w:after="0"/>
      </w:pPr>
      <w:r>
        <w:t>As defined in TS38.413 (</w:t>
      </w:r>
      <w:r>
        <w:fldChar w:fldCharType="begin"/>
      </w:r>
      <w:r>
        <w:instrText xml:space="preserve"> REF _Ref126768460 \r \h </w:instrText>
      </w:r>
      <w:r>
        <w:fldChar w:fldCharType="separate"/>
      </w:r>
      <w:r w:rsidR="00395A71">
        <w:t>[1]</w:t>
      </w:r>
      <w:r>
        <w:fldChar w:fldCharType="end"/>
      </w:r>
      <w:r>
        <w:t>), t</w:t>
      </w:r>
      <w:r w:rsidR="00D10847">
        <w:t>h</w:t>
      </w:r>
      <w:r>
        <w:t xml:space="preserve">e general principle is </w:t>
      </w:r>
    </w:p>
    <w:p w14:paraId="4586C55E" w14:textId="7F957D51" w:rsidR="007E0D10" w:rsidRPr="00E85119" w:rsidRDefault="007E0D10" w:rsidP="007E0D10">
      <w:pPr>
        <w:ind w:left="284"/>
        <w:rPr>
          <w:sz w:val="22"/>
          <w:szCs w:val="22"/>
        </w:rPr>
      </w:pPr>
      <w:r w:rsidRPr="00E85119">
        <w:rPr>
          <w:sz w:val="22"/>
          <w:szCs w:val="22"/>
        </w:rPr>
        <w:t xml:space="preserve">The principle for specifying the procedure logic is to specify the functional behaviour of the terminating node </w:t>
      </w:r>
      <w:r w:rsidRPr="00E85119">
        <w:rPr>
          <w:sz w:val="22"/>
          <w:szCs w:val="22"/>
          <w:u w:val="single"/>
        </w:rPr>
        <w:t>exactly and completely</w:t>
      </w:r>
      <w:r w:rsidRPr="00E85119">
        <w:rPr>
          <w:sz w:val="22"/>
          <w:szCs w:val="22"/>
        </w:rPr>
        <w:t>.</w:t>
      </w:r>
    </w:p>
    <w:p w14:paraId="7F1A5AF1" w14:textId="77777777" w:rsidR="007B568A" w:rsidRDefault="007B568A" w:rsidP="00D51821">
      <w:pPr>
        <w:spacing w:after="0"/>
      </w:pPr>
    </w:p>
    <w:p w14:paraId="65B79C68" w14:textId="443BD24D" w:rsidR="007E0D10" w:rsidRPr="007B568A" w:rsidRDefault="007B568A" w:rsidP="00D51821">
      <w:pPr>
        <w:spacing w:after="0"/>
        <w:rPr>
          <w:b/>
          <w:bCs/>
        </w:rPr>
      </w:pPr>
      <w:r>
        <w:rPr>
          <w:b/>
          <w:bCs/>
        </w:rPr>
        <w:t>IAB Authorization information</w:t>
      </w:r>
    </w:p>
    <w:p w14:paraId="7FB1C5F9" w14:textId="11D2C03D" w:rsidR="007E0D10" w:rsidRDefault="007E0D10" w:rsidP="00D51821">
      <w:pPr>
        <w:spacing w:after="0"/>
      </w:pPr>
      <w:r>
        <w:t xml:space="preserve">During IAB’s normal operation, the IAB’s authorization can be changed from “authorized” to “not authorized”. </w:t>
      </w:r>
      <w:r w:rsidR="00EC33F6">
        <w:t xml:space="preserve">It means the IAB is not authorized to serve the UE. </w:t>
      </w:r>
      <w:r>
        <w:t xml:space="preserve">Up to operator and AMF, </w:t>
      </w:r>
      <w:r w:rsidR="00BE217F">
        <w:t>there are two options</w:t>
      </w:r>
      <w:r>
        <w:t xml:space="preserve">. </w:t>
      </w:r>
    </w:p>
    <w:p w14:paraId="4EFEF402" w14:textId="77777777" w:rsidR="00575611" w:rsidRDefault="00575611" w:rsidP="00D51821">
      <w:pPr>
        <w:spacing w:after="0"/>
      </w:pPr>
    </w:p>
    <w:p w14:paraId="12FF19CF" w14:textId="23F1A115" w:rsidR="007E0D10" w:rsidRDefault="007E0D10" w:rsidP="007E0D10">
      <w:pPr>
        <w:pStyle w:val="ListParagraph"/>
        <w:numPr>
          <w:ilvl w:val="0"/>
          <w:numId w:val="21"/>
        </w:numPr>
        <w:spacing w:after="0"/>
        <w:rPr>
          <w:rFonts w:ascii="Times New Roman" w:eastAsia="宋体" w:hAnsi="Times New Roman"/>
          <w:sz w:val="20"/>
          <w:szCs w:val="20"/>
          <w:lang w:val="en-GB"/>
        </w:rPr>
      </w:pPr>
      <w:r w:rsidRPr="007E0D10">
        <w:rPr>
          <w:rFonts w:ascii="Times New Roman" w:eastAsia="宋体" w:hAnsi="Times New Roman"/>
          <w:sz w:val="20"/>
          <w:szCs w:val="20"/>
          <w:lang w:val="en-GB"/>
        </w:rPr>
        <w:t xml:space="preserve">Option 1: </w:t>
      </w:r>
      <w:r w:rsidR="00BE217F">
        <w:rPr>
          <w:rFonts w:ascii="Times New Roman" w:eastAsia="宋体" w:hAnsi="Times New Roman"/>
          <w:sz w:val="20"/>
          <w:szCs w:val="20"/>
          <w:lang w:val="en-GB"/>
        </w:rPr>
        <w:t xml:space="preserve">AMF </w:t>
      </w:r>
      <w:r w:rsidRPr="007E0D10">
        <w:rPr>
          <w:rFonts w:ascii="Times New Roman" w:eastAsia="宋体" w:hAnsi="Times New Roman"/>
          <w:sz w:val="20"/>
          <w:szCs w:val="20"/>
          <w:lang w:val="en-GB"/>
        </w:rPr>
        <w:t>de-register the IAB-MT</w:t>
      </w:r>
    </w:p>
    <w:p w14:paraId="7CBE3929" w14:textId="7F3E37EA" w:rsidR="007E0D10" w:rsidRDefault="002F2814" w:rsidP="007E0D10">
      <w:pPr>
        <w:pStyle w:val="ListParagraph"/>
        <w:spacing w:after="0"/>
        <w:ind w:left="360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During the de-register procedure, </w:t>
      </w:r>
      <w:r w:rsidR="007E0D10">
        <w:rPr>
          <w:rFonts w:ascii="Times New Roman" w:eastAsia="宋体" w:hAnsi="Times New Roman"/>
          <w:sz w:val="20"/>
          <w:szCs w:val="20"/>
          <w:lang w:val="en-GB"/>
        </w:rPr>
        <w:t>AMF initiate a UE Context Release procedure</w:t>
      </w:r>
      <w:r w:rsidR="007B568A">
        <w:rPr>
          <w:rFonts w:ascii="Times New Roman" w:eastAsia="宋体" w:hAnsi="Times New Roman"/>
          <w:sz w:val="20"/>
          <w:szCs w:val="20"/>
          <w:lang w:val="en-GB"/>
        </w:rPr>
        <w:t>.</w:t>
      </w:r>
      <w:r w:rsidR="00686A70">
        <w:rPr>
          <w:rFonts w:ascii="Times New Roman" w:eastAsia="宋体" w:hAnsi="Times New Roman"/>
          <w:sz w:val="20"/>
          <w:szCs w:val="20"/>
          <w:lang w:val="en-GB"/>
        </w:rPr>
        <w:t xml:space="preserve"> Then</w:t>
      </w:r>
      <w:r w:rsidR="007B568A">
        <w:rPr>
          <w:rFonts w:ascii="Times New Roman" w:eastAsia="宋体" w:hAnsi="Times New Roman"/>
          <w:sz w:val="20"/>
          <w:szCs w:val="20"/>
          <w:lang w:val="en-GB"/>
        </w:rPr>
        <w:t xml:space="preserve"> IAB-donor </w:t>
      </w:r>
      <w:r w:rsidR="007B568A" w:rsidRPr="007B568A">
        <w:rPr>
          <w:rFonts w:ascii="Times New Roman" w:eastAsia="宋体" w:hAnsi="Times New Roman"/>
          <w:sz w:val="20"/>
          <w:szCs w:val="20"/>
          <w:lang w:val="en-GB"/>
        </w:rPr>
        <w:t xml:space="preserve">shall release all related </w:t>
      </w:r>
      <w:r w:rsidR="00892F5B">
        <w:rPr>
          <w:rFonts w:ascii="Times New Roman" w:eastAsia="宋体" w:hAnsi="Times New Roman"/>
          <w:sz w:val="20"/>
          <w:szCs w:val="20"/>
          <w:lang w:val="en-GB"/>
        </w:rPr>
        <w:t>resources for IAB-MT</w:t>
      </w:r>
      <w:r w:rsidR="007B568A">
        <w:rPr>
          <w:rFonts w:ascii="Times New Roman" w:eastAsia="宋体" w:hAnsi="Times New Roman"/>
          <w:sz w:val="20"/>
          <w:szCs w:val="20"/>
          <w:lang w:val="en-GB"/>
        </w:rPr>
        <w:t xml:space="preserve">. IAB will not be able to serve UE anymore. </w:t>
      </w:r>
      <w:r w:rsidR="007E0D10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</w:p>
    <w:p w14:paraId="543B4751" w14:textId="77777777" w:rsidR="007E0D10" w:rsidRPr="007E0D10" w:rsidRDefault="007E0D10" w:rsidP="007E0D10">
      <w:pPr>
        <w:pStyle w:val="ListParagraph"/>
        <w:spacing w:after="0"/>
        <w:ind w:left="360"/>
        <w:rPr>
          <w:rFonts w:ascii="Times New Roman" w:eastAsia="宋体" w:hAnsi="Times New Roman"/>
          <w:sz w:val="20"/>
          <w:szCs w:val="20"/>
          <w:lang w:val="en-GB"/>
        </w:rPr>
      </w:pPr>
    </w:p>
    <w:p w14:paraId="118C3C0A" w14:textId="02A2F855" w:rsidR="007E0D10" w:rsidRDefault="007E0D10" w:rsidP="007E0D10">
      <w:pPr>
        <w:pStyle w:val="ListParagraph"/>
        <w:numPr>
          <w:ilvl w:val="0"/>
          <w:numId w:val="21"/>
        </w:numPr>
        <w:spacing w:after="0"/>
        <w:rPr>
          <w:rFonts w:ascii="Times New Roman" w:eastAsia="宋体" w:hAnsi="Times New Roman"/>
          <w:sz w:val="20"/>
          <w:szCs w:val="20"/>
          <w:lang w:val="en-GB"/>
        </w:rPr>
      </w:pPr>
      <w:r w:rsidRPr="007E0D10">
        <w:rPr>
          <w:rFonts w:ascii="Times New Roman" w:eastAsia="宋体" w:hAnsi="Times New Roman"/>
          <w:sz w:val="20"/>
          <w:szCs w:val="20"/>
          <w:lang w:val="en-GB"/>
        </w:rPr>
        <w:t>Option 2</w:t>
      </w:r>
      <w:r w:rsidR="00EC472A">
        <w:rPr>
          <w:rFonts w:ascii="Times New Roman" w:eastAsia="宋体" w:hAnsi="Times New Roman"/>
          <w:sz w:val="20"/>
          <w:szCs w:val="20"/>
          <w:lang w:val="en-GB"/>
        </w:rPr>
        <w:t>: AMF initiate UE Context Modification procedure to stop IAB operation, but IAB-MT is still registered.</w:t>
      </w:r>
    </w:p>
    <w:p w14:paraId="2B58D718" w14:textId="737D198F" w:rsidR="00EC472A" w:rsidRDefault="00EC472A" w:rsidP="00EC472A">
      <w:pPr>
        <w:pStyle w:val="ListParagraph"/>
        <w:spacing w:after="0"/>
        <w:ind w:left="360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AMF initiate a UE Context Modification procedure to inform IAB-donor that IAB’s authorization is changed from “authorized” to “not authorized”. </w:t>
      </w:r>
      <w:proofErr w:type="gramStart"/>
      <w:r w:rsidR="000E689A">
        <w:rPr>
          <w:rFonts w:ascii="Times New Roman" w:eastAsia="宋体" w:hAnsi="Times New Roman"/>
          <w:sz w:val="20"/>
          <w:szCs w:val="20"/>
          <w:lang w:val="en-GB"/>
        </w:rPr>
        <w:t>Similar to</w:t>
      </w:r>
      <w:proofErr w:type="gramEnd"/>
      <w:r w:rsidR="000E689A">
        <w:rPr>
          <w:rFonts w:ascii="Times New Roman" w:eastAsia="宋体" w:hAnsi="Times New Roman"/>
          <w:sz w:val="20"/>
          <w:szCs w:val="20"/>
          <w:lang w:val="en-GB"/>
        </w:rPr>
        <w:t xml:space="preserve"> Option 1, IAB shall stop to serve UE, and IAB-donor shall ensure the IAB node will not serve UE anymore. </w:t>
      </w:r>
    </w:p>
    <w:p w14:paraId="4995AD1E" w14:textId="3B568F5B" w:rsidR="009E4428" w:rsidRPr="007E0D10" w:rsidRDefault="009E4428" w:rsidP="00EC472A">
      <w:pPr>
        <w:pStyle w:val="ListParagraph"/>
        <w:spacing w:after="0"/>
        <w:ind w:left="360"/>
        <w:rPr>
          <w:rFonts w:ascii="Times New Roman" w:eastAsia="宋体" w:hAnsi="Times New Roman"/>
          <w:sz w:val="20"/>
          <w:szCs w:val="20"/>
          <w:lang w:val="en-GB"/>
        </w:rPr>
      </w:pPr>
      <w:proofErr w:type="gramStart"/>
      <w:r>
        <w:rPr>
          <w:rFonts w:ascii="Times New Roman" w:eastAsia="宋体" w:hAnsi="Times New Roman"/>
          <w:sz w:val="20"/>
          <w:szCs w:val="20"/>
          <w:lang w:val="en-GB"/>
        </w:rPr>
        <w:t>So</w:t>
      </w:r>
      <w:proofErr w:type="gramEnd"/>
      <w:r>
        <w:rPr>
          <w:rFonts w:ascii="Times New Roman" w:eastAsia="宋体" w:hAnsi="Times New Roman"/>
          <w:sz w:val="20"/>
          <w:szCs w:val="20"/>
          <w:lang w:val="en-GB"/>
        </w:rPr>
        <w:t xml:space="preserve"> UE Context Modification procedure is only used in Option 2. </w:t>
      </w:r>
    </w:p>
    <w:p w14:paraId="6FF8C613" w14:textId="77777777" w:rsidR="007E0D10" w:rsidRDefault="007E0D10" w:rsidP="00D51821">
      <w:pPr>
        <w:spacing w:after="0"/>
      </w:pPr>
    </w:p>
    <w:p w14:paraId="149EF5C5" w14:textId="1C884115" w:rsidR="007E0D10" w:rsidRPr="001132D1" w:rsidRDefault="001132D1" w:rsidP="00D51821">
      <w:pPr>
        <w:spacing w:after="0"/>
        <w:rPr>
          <w:b/>
          <w:bCs/>
        </w:rPr>
      </w:pPr>
      <w:r>
        <w:rPr>
          <w:b/>
          <w:bCs/>
        </w:rPr>
        <w:t xml:space="preserve">Observation 1: when IAB’s authorization is changed to “authorized” to “not authorized”, IAB shall not serve UE anymore. </w:t>
      </w:r>
    </w:p>
    <w:p w14:paraId="1253227B" w14:textId="17BC0D3D" w:rsidR="008415E0" w:rsidRPr="001132D1" w:rsidRDefault="008415E0" w:rsidP="008415E0">
      <w:pPr>
        <w:spacing w:after="0"/>
        <w:rPr>
          <w:b/>
          <w:bCs/>
        </w:rPr>
      </w:pPr>
      <w:r>
        <w:rPr>
          <w:b/>
          <w:bCs/>
        </w:rPr>
        <w:t xml:space="preserve">Observation 2: when AMF initiate UE Context Modification procedure to change IAB’s authorization to “not authorized”, IAB-donor shall ensure IAB will not serve UE anymore. </w:t>
      </w:r>
    </w:p>
    <w:p w14:paraId="3B0C7F68" w14:textId="77777777" w:rsidR="006B4D53" w:rsidRDefault="006B4D53" w:rsidP="00D51821">
      <w:pPr>
        <w:spacing w:after="0"/>
        <w:rPr>
          <w:b/>
          <w:lang w:eastAsia="zh-CN"/>
        </w:rPr>
      </w:pPr>
    </w:p>
    <w:p w14:paraId="598BB200" w14:textId="6D71B1D0" w:rsidR="00E85119" w:rsidRDefault="00AF0C02" w:rsidP="00D51821">
      <w:pPr>
        <w:spacing w:after="0"/>
        <w:rPr>
          <w:b/>
          <w:lang w:eastAsia="zh-CN"/>
        </w:rPr>
      </w:pPr>
      <w:r w:rsidRPr="006B4D53">
        <w:rPr>
          <w:b/>
          <w:lang w:eastAsia="zh-CN"/>
        </w:rPr>
        <w:t xml:space="preserve">Proposal </w:t>
      </w:r>
      <w:r w:rsidR="00206D62">
        <w:rPr>
          <w:b/>
          <w:lang w:eastAsia="zh-CN"/>
        </w:rPr>
        <w:t>1</w:t>
      </w:r>
      <w:r w:rsidRPr="006B4D53">
        <w:rPr>
          <w:b/>
          <w:lang w:eastAsia="zh-CN"/>
        </w:rPr>
        <w:t>:</w:t>
      </w:r>
      <w:r>
        <w:rPr>
          <w:b/>
          <w:lang w:eastAsia="zh-CN"/>
        </w:rPr>
        <w:t xml:space="preserve"> RAN3 </w:t>
      </w:r>
      <w:r w:rsidR="006B4D53">
        <w:rPr>
          <w:b/>
          <w:lang w:eastAsia="zh-CN"/>
        </w:rPr>
        <w:t>informs SA2 that the following</w:t>
      </w:r>
      <w:r>
        <w:rPr>
          <w:b/>
          <w:lang w:eastAsia="zh-CN"/>
        </w:rPr>
        <w:t xml:space="preserve"> t</w:t>
      </w:r>
      <w:r w:rsidR="006B4D53">
        <w:rPr>
          <w:b/>
          <w:lang w:eastAsia="zh-CN"/>
        </w:rPr>
        <w:t>wo</w:t>
      </w:r>
      <w:r>
        <w:rPr>
          <w:b/>
          <w:lang w:eastAsia="zh-CN"/>
        </w:rPr>
        <w:t xml:space="preserve"> options </w:t>
      </w:r>
      <w:r w:rsidR="006B4D53">
        <w:rPr>
          <w:b/>
          <w:lang w:eastAsia="zh-CN"/>
        </w:rPr>
        <w:t xml:space="preserve">are allowed </w:t>
      </w:r>
      <w:r>
        <w:rPr>
          <w:b/>
          <w:lang w:eastAsia="zh-CN"/>
        </w:rPr>
        <w:t xml:space="preserve">for the case that the </w:t>
      </w:r>
      <w:r w:rsidR="006B4D53" w:rsidRPr="006B4D53">
        <w:rPr>
          <w:b/>
          <w:lang w:eastAsia="zh-CN"/>
        </w:rPr>
        <w:t>IAB’s authorization</w:t>
      </w:r>
      <w:r w:rsidR="006B4D53">
        <w:rPr>
          <w:b/>
          <w:lang w:eastAsia="zh-CN"/>
        </w:rPr>
        <w:t xml:space="preserve"> is</w:t>
      </w:r>
      <w:r w:rsidR="006B4D53" w:rsidRPr="006B4D53">
        <w:rPr>
          <w:b/>
          <w:lang w:eastAsia="zh-CN"/>
        </w:rPr>
        <w:t xml:space="preserve"> changed from “authorized” to “not authorized”</w:t>
      </w:r>
      <w:r w:rsidR="006B4D53">
        <w:rPr>
          <w:b/>
          <w:lang w:eastAsia="zh-CN"/>
        </w:rPr>
        <w:t>, and which option is used is up to operator.</w:t>
      </w:r>
    </w:p>
    <w:p w14:paraId="21BF39AD" w14:textId="36CF202C" w:rsidR="006B4D53" w:rsidRPr="006B4D53" w:rsidRDefault="006B4D53" w:rsidP="006B4D53">
      <w:pPr>
        <w:pStyle w:val="ListParagraph"/>
        <w:numPr>
          <w:ilvl w:val="0"/>
          <w:numId w:val="23"/>
        </w:numPr>
        <w:spacing w:after="0"/>
        <w:rPr>
          <w:rFonts w:ascii="Times New Roman" w:eastAsia="宋体" w:hAnsi="Times New Roman"/>
          <w:b/>
          <w:sz w:val="20"/>
          <w:szCs w:val="20"/>
          <w:lang w:val="en-GB" w:eastAsia="zh-CN"/>
        </w:rPr>
      </w:pPr>
      <w:r w:rsidRPr="006B4D53">
        <w:rPr>
          <w:rFonts w:ascii="Times New Roman" w:eastAsia="宋体" w:hAnsi="Times New Roman"/>
          <w:b/>
          <w:sz w:val="20"/>
          <w:szCs w:val="20"/>
          <w:lang w:val="en-GB" w:eastAsia="zh-CN"/>
        </w:rPr>
        <w:t>Option 1: AMF de-register the IAB-MT</w:t>
      </w:r>
      <w:r>
        <w:rPr>
          <w:rFonts w:ascii="Times New Roman" w:eastAsia="宋体" w:hAnsi="Times New Roman"/>
          <w:b/>
          <w:sz w:val="20"/>
          <w:szCs w:val="20"/>
          <w:lang w:val="en-GB" w:eastAsia="zh-CN"/>
        </w:rPr>
        <w:t>.</w:t>
      </w:r>
    </w:p>
    <w:p w14:paraId="477F0073" w14:textId="36CF8333" w:rsidR="006B4D53" w:rsidRPr="006B4D53" w:rsidRDefault="006B4D53" w:rsidP="006B4D53">
      <w:pPr>
        <w:pStyle w:val="ListParagraph"/>
        <w:numPr>
          <w:ilvl w:val="0"/>
          <w:numId w:val="23"/>
        </w:numPr>
        <w:spacing w:after="0"/>
        <w:rPr>
          <w:rFonts w:ascii="Times New Roman" w:eastAsia="宋体" w:hAnsi="Times New Roman"/>
          <w:b/>
          <w:sz w:val="20"/>
          <w:szCs w:val="20"/>
          <w:lang w:val="en-GB" w:eastAsia="zh-CN"/>
        </w:rPr>
      </w:pPr>
      <w:r w:rsidRPr="006B4D53">
        <w:rPr>
          <w:rFonts w:ascii="Times New Roman" w:eastAsia="宋体" w:hAnsi="Times New Roman"/>
          <w:b/>
          <w:sz w:val="20"/>
          <w:szCs w:val="20"/>
          <w:lang w:val="en-GB" w:eastAsia="zh-CN"/>
        </w:rPr>
        <w:t>Option 2: AMF initiate UE Context Modification procedure to stop IAB operation, but IAB-MT is still registered.</w:t>
      </w:r>
    </w:p>
    <w:p w14:paraId="2D2A419C" w14:textId="77777777" w:rsidR="00AF0C02" w:rsidRPr="00AF0C02" w:rsidRDefault="00AF0C02" w:rsidP="00D51821">
      <w:pPr>
        <w:spacing w:after="0"/>
      </w:pPr>
    </w:p>
    <w:p w14:paraId="71AF1467" w14:textId="53CEB99A" w:rsidR="004669CB" w:rsidRDefault="00502A31" w:rsidP="00D51821">
      <w:pPr>
        <w:spacing w:after="0"/>
      </w:pPr>
      <w:r>
        <w:t>However, c</w:t>
      </w:r>
      <w:r w:rsidR="004669CB">
        <w:t>urrent TS38.413 defines:</w:t>
      </w:r>
    </w:p>
    <w:p w14:paraId="7D83454E" w14:textId="77777777" w:rsidR="004669CB" w:rsidRDefault="004669CB" w:rsidP="00D51821">
      <w:pPr>
        <w:spacing w:after="0"/>
      </w:pPr>
    </w:p>
    <w:p w14:paraId="3A6B8E96" w14:textId="77777777" w:rsidR="004669CB" w:rsidRPr="001D2E49" w:rsidRDefault="004669CB" w:rsidP="004669CB">
      <w:pPr>
        <w:ind w:left="284"/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4B49E529" w14:textId="77777777" w:rsidR="004669CB" w:rsidRPr="00E67E0D" w:rsidRDefault="004669CB" w:rsidP="004669CB">
      <w:pPr>
        <w:pStyle w:val="B1"/>
        <w:ind w:left="852"/>
      </w:pPr>
      <w:r>
        <w:lastRenderedPageBreak/>
        <w:t>-</w:t>
      </w:r>
      <w:r>
        <w:tab/>
        <w:t xml:space="preserve">if supported, </w:t>
      </w:r>
      <w:r w:rsidRPr="008D37A5">
        <w:rPr>
          <w:b/>
          <w:bCs/>
          <w:u w:val="single"/>
        </w:rPr>
        <w:t>store</w:t>
      </w:r>
      <w:r w:rsidRPr="004669CB">
        <w:rPr>
          <w:u w:val="single"/>
        </w:rPr>
        <w:t xml:space="preserve"> the received IAB Authorization information in the UE context</w:t>
      </w:r>
      <w:r w:rsidRPr="00E67E0D">
        <w:t>.</w:t>
      </w:r>
    </w:p>
    <w:p w14:paraId="6E1725B6" w14:textId="13E846C3" w:rsidR="00D73E08" w:rsidRDefault="00502A31" w:rsidP="00D51821">
      <w:pPr>
        <w:spacing w:after="0"/>
        <w:rPr>
          <w:lang w:eastAsia="zh-CN"/>
        </w:rPr>
      </w:pPr>
      <w:r>
        <w:t>Based on this,</w:t>
      </w:r>
      <w:r w:rsidR="00DA26A9">
        <w:t xml:space="preserve"> </w:t>
      </w:r>
      <w:r>
        <w:t>a</w:t>
      </w:r>
      <w:r w:rsidR="00DA26A9">
        <w:t xml:space="preserve">n IAB-donor </w:t>
      </w:r>
      <w:r w:rsidR="00B264E5">
        <w:t>may</w:t>
      </w:r>
      <w:r w:rsidR="00DA26A9">
        <w:t xml:space="preserve"> not take any action other than “</w:t>
      </w:r>
      <w:r w:rsidR="00DA26A9" w:rsidRPr="004669CB">
        <w:rPr>
          <w:u w:val="single"/>
        </w:rPr>
        <w:t>store the received IAB Authorization information in the UE context</w:t>
      </w:r>
      <w:r w:rsidR="00DA26A9" w:rsidRPr="00DA26A9">
        <w:t>”</w:t>
      </w:r>
      <w:r w:rsidR="00DA26A9">
        <w:t xml:space="preserve">. This means an IAB can continue to serve the UE. This </w:t>
      </w:r>
      <w:r w:rsidR="00CF7A6A">
        <w:t xml:space="preserve">is not expected by the AMF (and operator). </w:t>
      </w:r>
    </w:p>
    <w:p w14:paraId="7388D5A8" w14:textId="6379888A" w:rsidR="00CF7A6A" w:rsidRDefault="00CF7A6A" w:rsidP="00D51821">
      <w:pPr>
        <w:spacing w:after="0"/>
        <w:rPr>
          <w:lang w:eastAsia="zh-CN"/>
        </w:rPr>
      </w:pPr>
    </w:p>
    <w:p w14:paraId="4877EF5F" w14:textId="102D313E" w:rsidR="00CF7A6A" w:rsidRPr="00CF7A6A" w:rsidRDefault="00CF7A6A" w:rsidP="00D51821">
      <w:pPr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</w:t>
      </w:r>
      <w:r w:rsidR="003C1C8F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: Current TS38.413 can cause incorrect behaviour that IAB continue to serve the UE, after the IAB’s authorization is changed from “authorized” to “not authorized”. </w:t>
      </w:r>
    </w:p>
    <w:p w14:paraId="3DBE7D41" w14:textId="77777777" w:rsidR="00CF7A6A" w:rsidRPr="00CF7A6A" w:rsidRDefault="00CF7A6A" w:rsidP="00D51821">
      <w:pPr>
        <w:spacing w:after="0"/>
        <w:rPr>
          <w:lang w:val="en-US" w:eastAsia="zh-CN"/>
        </w:rPr>
      </w:pPr>
    </w:p>
    <w:p w14:paraId="52243C40" w14:textId="43C6337B" w:rsidR="00CF7A6A" w:rsidRDefault="00CF7A6A" w:rsidP="00D51821">
      <w:pPr>
        <w:spacing w:after="0"/>
      </w:pPr>
      <w:r>
        <w:t xml:space="preserve">Actually, there is other authorized IE defined in TS38.413, </w:t>
      </w:r>
      <w:proofErr w:type="gramStart"/>
      <w:r>
        <w:t>i.e.</w:t>
      </w:r>
      <w:proofErr w:type="gramEnd"/>
      <w:r>
        <w:t xml:space="preserve"> </w:t>
      </w:r>
      <w:r w:rsidRPr="00CF7A6A">
        <w:rPr>
          <w:i/>
          <w:iCs/>
        </w:rPr>
        <w:t>NR V2X Services Authorized</w:t>
      </w:r>
      <w:r>
        <w:t xml:space="preserve"> IE</w:t>
      </w:r>
      <w:r w:rsidRPr="00CF7A6A">
        <w:t xml:space="preserve">, </w:t>
      </w:r>
      <w:r w:rsidRPr="00CF7A6A">
        <w:rPr>
          <w:i/>
          <w:iCs/>
        </w:rPr>
        <w:t>LTE V2X Services Authorized</w:t>
      </w:r>
      <w:r>
        <w:rPr>
          <w:i/>
          <w:iCs/>
        </w:rPr>
        <w:t xml:space="preserve"> </w:t>
      </w:r>
      <w:r>
        <w:t>IE</w:t>
      </w:r>
      <w:r>
        <w:rPr>
          <w:i/>
          <w:iCs/>
        </w:rPr>
        <w:t xml:space="preserve"> </w:t>
      </w:r>
      <w:r w:rsidRPr="00CF7A6A">
        <w:t>and</w:t>
      </w:r>
      <w:r w:rsidRPr="00CF7A6A">
        <w:rPr>
          <w:i/>
          <w:iCs/>
        </w:rPr>
        <w:t xml:space="preserve"> 5G </w:t>
      </w:r>
      <w:proofErr w:type="spellStart"/>
      <w:r w:rsidRPr="00CF7A6A">
        <w:rPr>
          <w:i/>
          <w:iCs/>
        </w:rPr>
        <w:t>ProSe</w:t>
      </w:r>
      <w:proofErr w:type="spellEnd"/>
      <w:r w:rsidRPr="00CF7A6A">
        <w:rPr>
          <w:i/>
          <w:iCs/>
        </w:rPr>
        <w:t xml:space="preserve"> Authorized</w:t>
      </w:r>
      <w:r>
        <w:rPr>
          <w:i/>
          <w:iCs/>
        </w:rPr>
        <w:t xml:space="preserve"> </w:t>
      </w:r>
      <w:r>
        <w:t xml:space="preserve">IE. For these IEs, when it is changed to “not authorized”, TS38.413 defines the action to stop the related services. For example, </w:t>
      </w:r>
    </w:p>
    <w:p w14:paraId="25B1BC6B" w14:textId="77777777" w:rsidR="00A962FD" w:rsidRDefault="00A962FD" w:rsidP="00D51821">
      <w:pPr>
        <w:spacing w:after="0"/>
      </w:pPr>
    </w:p>
    <w:p w14:paraId="123F8A14" w14:textId="77777777" w:rsidR="00CF7A6A" w:rsidRPr="00CF7A6A" w:rsidRDefault="00CF7A6A" w:rsidP="00CF7A6A">
      <w:pPr>
        <w:tabs>
          <w:tab w:val="right" w:pos="9641"/>
        </w:tabs>
        <w:ind w:left="284"/>
        <w:rPr>
          <w:u w:val="single"/>
        </w:rPr>
      </w:pPr>
      <w:r w:rsidRPr="00C84C3A">
        <w:t xml:space="preserve">If the </w:t>
      </w:r>
      <w:r w:rsidRPr="00E86AA3">
        <w:rPr>
          <w:i/>
        </w:rPr>
        <w:t>NR V2X Services Authorized</w:t>
      </w:r>
      <w:r w:rsidRPr="00C84C3A">
        <w:t xml:space="preserve"> IE is contained in the UE CONTEXT MODIF</w:t>
      </w:r>
      <w:r>
        <w:t>ICATION REQUEST message, the NG-RAN node</w:t>
      </w:r>
      <w:r w:rsidRPr="00C84C3A">
        <w:t xml:space="preserve"> shall, if supported, update its V2X services authorization information for the UE accordingly. </w:t>
      </w:r>
      <w:r w:rsidRPr="00CF7A6A">
        <w:rPr>
          <w:u w:val="single"/>
        </w:rPr>
        <w:t xml:space="preserve">If the </w:t>
      </w:r>
      <w:r w:rsidRPr="00CF7A6A">
        <w:rPr>
          <w:i/>
          <w:u w:val="single"/>
        </w:rPr>
        <w:t>NR V2X Services Authorized</w:t>
      </w:r>
      <w:r w:rsidRPr="00CF7A6A">
        <w:rPr>
          <w:u w:val="single"/>
        </w:rPr>
        <w:t xml:space="preserve"> IE includes one or more IEs set to "not authorized", the NG-RAN node shall, if supported, </w:t>
      </w:r>
      <w:r w:rsidRPr="00827341">
        <w:rPr>
          <w:b/>
          <w:bCs/>
          <w:u w:val="single"/>
        </w:rPr>
        <w:t>initiate actions to</w:t>
      </w:r>
      <w:r w:rsidRPr="00CF7A6A">
        <w:rPr>
          <w:u w:val="single"/>
        </w:rPr>
        <w:t xml:space="preserve"> </w:t>
      </w:r>
      <w:r w:rsidRPr="000F2028">
        <w:rPr>
          <w:b/>
          <w:bCs/>
          <w:u w:val="single"/>
        </w:rPr>
        <w:t>ensure that the UE is no longer accessing the relevant service(s).</w:t>
      </w:r>
    </w:p>
    <w:p w14:paraId="7FA5AF35" w14:textId="30159760" w:rsidR="00CF7A6A" w:rsidRDefault="008522B7" w:rsidP="00D51821">
      <w:pPr>
        <w:spacing w:after="0"/>
      </w:pPr>
      <w:r>
        <w:t xml:space="preserve">Similar text is need for </w:t>
      </w:r>
      <w:r w:rsidRPr="008522B7">
        <w:rPr>
          <w:i/>
          <w:iCs/>
        </w:rPr>
        <w:t xml:space="preserve">IAB Authorized </w:t>
      </w:r>
      <w:r>
        <w:t xml:space="preserve">IE. </w:t>
      </w:r>
    </w:p>
    <w:p w14:paraId="2777C2E7" w14:textId="475CFE3D" w:rsidR="008522B7" w:rsidRDefault="008522B7" w:rsidP="00D51821">
      <w:pPr>
        <w:spacing w:after="0"/>
      </w:pPr>
    </w:p>
    <w:p w14:paraId="5592451F" w14:textId="72D40831" w:rsidR="008522B7" w:rsidRPr="008522B7" w:rsidRDefault="008522B7" w:rsidP="00D51821">
      <w:pPr>
        <w:spacing w:after="0"/>
        <w:rPr>
          <w:b/>
          <w:bCs/>
        </w:rPr>
      </w:pPr>
      <w:r>
        <w:rPr>
          <w:b/>
          <w:bCs/>
        </w:rPr>
        <w:t xml:space="preserve">Proposal </w:t>
      </w:r>
      <w:r w:rsidR="00206D62">
        <w:rPr>
          <w:b/>
          <w:bCs/>
        </w:rPr>
        <w:t>2</w:t>
      </w:r>
      <w:r>
        <w:rPr>
          <w:b/>
          <w:bCs/>
        </w:rPr>
        <w:t xml:space="preserve">: </w:t>
      </w:r>
      <w:r w:rsidR="00B043F1">
        <w:rPr>
          <w:b/>
          <w:bCs/>
        </w:rPr>
        <w:t>W</w:t>
      </w:r>
      <w:r>
        <w:rPr>
          <w:b/>
          <w:bCs/>
        </w:rPr>
        <w:t xml:space="preserve">hen the </w:t>
      </w:r>
      <w:r>
        <w:rPr>
          <w:b/>
          <w:bCs/>
          <w:i/>
          <w:iCs/>
        </w:rPr>
        <w:t xml:space="preserve">IAB Authorized </w:t>
      </w:r>
      <w:r>
        <w:rPr>
          <w:b/>
          <w:bCs/>
        </w:rPr>
        <w:t>IE is set to “not authorized” in the UE CONTEXT MOFICATION REQUEST message, IAB-donor shall, if supported, i</w:t>
      </w:r>
      <w:r w:rsidRPr="008522B7">
        <w:rPr>
          <w:b/>
          <w:bCs/>
        </w:rPr>
        <w:t>nitiate actions to ensure that the IAB node will not serve the UE(s).</w:t>
      </w:r>
    </w:p>
    <w:p w14:paraId="3400253C" w14:textId="77777777" w:rsidR="008522B7" w:rsidRDefault="008522B7" w:rsidP="00D51821">
      <w:pPr>
        <w:spacing w:after="0"/>
      </w:pPr>
    </w:p>
    <w:p w14:paraId="54213A30" w14:textId="65C8751F" w:rsidR="00B21669" w:rsidRDefault="000F2028" w:rsidP="00D51821">
      <w:pPr>
        <w:spacing w:after="0"/>
      </w:pPr>
      <w:r>
        <w:t>Similar</w:t>
      </w:r>
      <w:r w:rsidR="00902DD0">
        <w:t xml:space="preserve"> issue also happen</w:t>
      </w:r>
      <w:r w:rsidR="00DC1135">
        <w:t>s</w:t>
      </w:r>
      <w:r w:rsidR="00902DD0">
        <w:t xml:space="preserve"> for NSA IAB. </w:t>
      </w:r>
      <w:r w:rsidR="00B21669">
        <w:t xml:space="preserve">When the </w:t>
      </w:r>
      <w:r w:rsidR="00B21669">
        <w:rPr>
          <w:i/>
          <w:iCs/>
        </w:rPr>
        <w:t xml:space="preserve">IAB Authorized </w:t>
      </w:r>
      <w:r w:rsidR="00B21669">
        <w:t xml:space="preserve">IE is set to “not authorized” in the received UE CONTEXT MODIFICATION REQUEST message, eNB need to take actions to ensure IAB will not serve UE(s). For example, eNB may initiate </w:t>
      </w:r>
      <w:r w:rsidR="00B21669" w:rsidRPr="00F063EE">
        <w:rPr>
          <w:noProof/>
        </w:rPr>
        <w:t>Secondary Node Release</w:t>
      </w:r>
      <w:r w:rsidR="00B21669">
        <w:rPr>
          <w:noProof/>
        </w:rPr>
        <w:t xml:space="preserve"> procedure to release IAB-donor thus stop IAB</w:t>
      </w:r>
      <w:r w:rsidR="006D36A0">
        <w:rPr>
          <w:noProof/>
        </w:rPr>
        <w:t>’s</w:t>
      </w:r>
      <w:r w:rsidR="00B21669">
        <w:rPr>
          <w:noProof/>
        </w:rPr>
        <w:t xml:space="preserve"> operation. </w:t>
      </w:r>
    </w:p>
    <w:p w14:paraId="694628BF" w14:textId="43960413" w:rsidR="00DC1135" w:rsidRDefault="00DC1135" w:rsidP="00D51821">
      <w:pPr>
        <w:spacing w:after="0"/>
      </w:pPr>
    </w:p>
    <w:p w14:paraId="56A97E07" w14:textId="1C850A7F" w:rsidR="008C5478" w:rsidRDefault="008C5478" w:rsidP="008C5478">
      <w:pPr>
        <w:spacing w:after="0"/>
        <w:rPr>
          <w:b/>
          <w:bCs/>
        </w:rPr>
      </w:pPr>
      <w:r>
        <w:rPr>
          <w:b/>
          <w:bCs/>
        </w:rPr>
        <w:t xml:space="preserve">Proposal </w:t>
      </w:r>
      <w:r w:rsidR="00206D62">
        <w:rPr>
          <w:b/>
          <w:bCs/>
        </w:rPr>
        <w:t>3</w:t>
      </w:r>
      <w:r>
        <w:rPr>
          <w:b/>
          <w:bCs/>
        </w:rPr>
        <w:t xml:space="preserve">: In NSA, when the </w:t>
      </w:r>
      <w:r>
        <w:rPr>
          <w:b/>
          <w:bCs/>
          <w:i/>
          <w:iCs/>
        </w:rPr>
        <w:t xml:space="preserve">IAB Authorized </w:t>
      </w:r>
      <w:r>
        <w:rPr>
          <w:b/>
          <w:bCs/>
        </w:rPr>
        <w:t>IE is set to “not authorized” in the UE CONTEXT MOFICATION REQUEST message, eNB shall, if supported, i</w:t>
      </w:r>
      <w:r w:rsidRPr="008522B7">
        <w:rPr>
          <w:b/>
          <w:bCs/>
        </w:rPr>
        <w:t>nitiate actions to ensure that the IAB node will not serve the UE(s).</w:t>
      </w:r>
    </w:p>
    <w:p w14:paraId="5CCFAF6A" w14:textId="77777777" w:rsidR="00B043F1" w:rsidRDefault="00B043F1" w:rsidP="00B043F1">
      <w:pPr>
        <w:spacing w:after="0"/>
      </w:pPr>
    </w:p>
    <w:p w14:paraId="496A73D2" w14:textId="682D66EB" w:rsidR="00B043F1" w:rsidRDefault="00B043F1" w:rsidP="00B043F1">
      <w:pPr>
        <w:spacing w:after="0"/>
      </w:pPr>
      <w:r>
        <w:t>Draft NGAP CR and S1AP CR can be found in (</w:t>
      </w:r>
      <w:r w:rsidR="00395A71">
        <w:fldChar w:fldCharType="begin"/>
      </w:r>
      <w:r w:rsidR="00395A71">
        <w:instrText xml:space="preserve"> REF _Ref127366930 \r \h </w:instrText>
      </w:r>
      <w:r w:rsidR="00395A71">
        <w:fldChar w:fldCharType="separate"/>
      </w:r>
      <w:r w:rsidR="00395A71">
        <w:t>[3]</w:t>
      </w:r>
      <w:r w:rsidR="00395A71">
        <w:fldChar w:fldCharType="end"/>
      </w:r>
      <w:r w:rsidR="00C171C5">
        <w:fldChar w:fldCharType="begin"/>
      </w:r>
      <w:r w:rsidR="00C171C5">
        <w:instrText xml:space="preserve"> REF _Ref126770506 \r \h </w:instrText>
      </w:r>
      <w:r w:rsidR="00C171C5">
        <w:fldChar w:fldCharType="separate"/>
      </w:r>
      <w:r w:rsidR="00395A71">
        <w:t>[4]</w:t>
      </w:r>
      <w:r w:rsidR="00C171C5">
        <w:fldChar w:fldCharType="end"/>
      </w:r>
      <w:r>
        <w:t>).</w:t>
      </w:r>
    </w:p>
    <w:p w14:paraId="1135D380" w14:textId="77777777" w:rsidR="00B043F1" w:rsidRPr="008522B7" w:rsidRDefault="00B043F1" w:rsidP="008C5478">
      <w:pPr>
        <w:spacing w:after="0"/>
        <w:rPr>
          <w:b/>
          <w:bCs/>
        </w:rPr>
      </w:pPr>
    </w:p>
    <w:p w14:paraId="6D271AD3" w14:textId="3F103886" w:rsidR="00DC1135" w:rsidRPr="00DC1135" w:rsidRDefault="00DC1135" w:rsidP="00D51821">
      <w:pPr>
        <w:spacing w:after="0"/>
        <w:rPr>
          <w:b/>
          <w:bCs/>
        </w:rPr>
      </w:pPr>
      <w:r>
        <w:rPr>
          <w:b/>
          <w:bCs/>
        </w:rPr>
        <w:t xml:space="preserve">Proposal </w:t>
      </w:r>
      <w:r w:rsidR="00206D62">
        <w:rPr>
          <w:b/>
          <w:bCs/>
        </w:rPr>
        <w:t>4</w:t>
      </w:r>
      <w:r>
        <w:rPr>
          <w:b/>
          <w:bCs/>
        </w:rPr>
        <w:t>: Agree NGAP CR and S1AP CR</w:t>
      </w:r>
      <w:r w:rsidR="00CC4D39">
        <w:rPr>
          <w:b/>
          <w:bCs/>
        </w:rPr>
        <w:t>.</w:t>
      </w:r>
    </w:p>
    <w:p w14:paraId="3A3F8D57" w14:textId="63133E01" w:rsidR="0096163D" w:rsidRPr="00FB206A" w:rsidRDefault="0096163D" w:rsidP="0096163D">
      <w:pPr>
        <w:rPr>
          <w:b/>
          <w:bCs/>
        </w:rPr>
      </w:pPr>
      <w:r w:rsidRPr="00FB206A">
        <w:rPr>
          <w:b/>
          <w:bCs/>
        </w:rPr>
        <w:t xml:space="preserve"> 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1843841C" w14:textId="3A80E0B6" w:rsidR="00DF364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</w:t>
      </w:r>
      <w:r w:rsidR="00210362">
        <w:rPr>
          <w:bCs/>
          <w:lang w:val="en-US"/>
        </w:rPr>
        <w:t>discussed</w:t>
      </w:r>
      <w:r w:rsidRPr="0087767E">
        <w:rPr>
          <w:bCs/>
          <w:lang w:val="en-US"/>
        </w:rPr>
        <w:t xml:space="preserve"> </w:t>
      </w:r>
      <w:r>
        <w:rPr>
          <w:bCs/>
          <w:lang w:val="en-US"/>
        </w:rPr>
        <w:t xml:space="preserve">the </w:t>
      </w:r>
      <w:r w:rsidR="00DF364E">
        <w:rPr>
          <w:bCs/>
          <w:lang w:val="en-US"/>
        </w:rPr>
        <w:t xml:space="preserve">issue for IAB Authorization information is changed to “not authorized” during the UE Context Modification procedure. </w:t>
      </w:r>
    </w:p>
    <w:p w14:paraId="7468147B" w14:textId="77777777" w:rsidR="00DF364E" w:rsidRPr="001132D1" w:rsidRDefault="00DF364E" w:rsidP="00DF364E">
      <w:pPr>
        <w:spacing w:after="0"/>
        <w:rPr>
          <w:b/>
          <w:bCs/>
        </w:rPr>
      </w:pPr>
      <w:r>
        <w:rPr>
          <w:b/>
          <w:bCs/>
        </w:rPr>
        <w:t xml:space="preserve">Observation 1: when IAB’s authorization is changed to “authorized” to “not authorized”, IAB shall not serve UE anymore. </w:t>
      </w:r>
    </w:p>
    <w:p w14:paraId="57E6B7AE" w14:textId="77777777" w:rsidR="00DF364E" w:rsidRPr="001132D1" w:rsidRDefault="00DF364E" w:rsidP="00DF364E">
      <w:pPr>
        <w:spacing w:after="0"/>
        <w:rPr>
          <w:b/>
          <w:bCs/>
        </w:rPr>
      </w:pPr>
      <w:r>
        <w:rPr>
          <w:b/>
          <w:bCs/>
        </w:rPr>
        <w:t xml:space="preserve">Observation 2: when AMF initiate UE Context Modification procedure to change IAB’s authorization to “not authorized”, IAB-donor shall ensure IAB will not serve UE anymore. </w:t>
      </w:r>
    </w:p>
    <w:p w14:paraId="2402F0FB" w14:textId="77777777" w:rsidR="00DF364E" w:rsidRPr="00CF7A6A" w:rsidRDefault="00DF364E" w:rsidP="00DF364E">
      <w:pPr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3: Current TS38.413 can cause incorrect behaviour that IAB continue to serve the UE, after the IAB’s authorization information is changed from “authorized” to “not authorized”. </w:t>
      </w:r>
    </w:p>
    <w:p w14:paraId="5B918F97" w14:textId="77777777" w:rsidR="007A0B76" w:rsidRDefault="007A0B76" w:rsidP="00A55FFE">
      <w:pPr>
        <w:jc w:val="both"/>
        <w:rPr>
          <w:bCs/>
          <w:lang w:val="en-US"/>
        </w:rPr>
      </w:pPr>
    </w:p>
    <w:p w14:paraId="314701E8" w14:textId="1387CB5E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>Our proposals are:</w:t>
      </w:r>
    </w:p>
    <w:p w14:paraId="72FE2C7D" w14:textId="77777777" w:rsidR="00206D62" w:rsidRDefault="00206D62" w:rsidP="00206D62">
      <w:pPr>
        <w:spacing w:after="0"/>
        <w:rPr>
          <w:b/>
          <w:lang w:eastAsia="zh-CN"/>
        </w:rPr>
      </w:pPr>
      <w:r w:rsidRPr="006B4D53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6B4D53">
        <w:rPr>
          <w:b/>
          <w:lang w:eastAsia="zh-CN"/>
        </w:rPr>
        <w:t>:</w:t>
      </w:r>
      <w:r>
        <w:rPr>
          <w:b/>
          <w:lang w:eastAsia="zh-CN"/>
        </w:rPr>
        <w:t xml:space="preserve"> RAN3 informs SA2 that the following two options are allowed for the case that the </w:t>
      </w:r>
      <w:r w:rsidRPr="006B4D53">
        <w:rPr>
          <w:b/>
          <w:lang w:eastAsia="zh-CN"/>
        </w:rPr>
        <w:t>IAB’s authorization</w:t>
      </w:r>
      <w:r>
        <w:rPr>
          <w:b/>
          <w:lang w:eastAsia="zh-CN"/>
        </w:rPr>
        <w:t xml:space="preserve"> is</w:t>
      </w:r>
      <w:r w:rsidRPr="006B4D53">
        <w:rPr>
          <w:b/>
          <w:lang w:eastAsia="zh-CN"/>
        </w:rPr>
        <w:t xml:space="preserve"> changed from “authorized” to “not authorized”</w:t>
      </w:r>
      <w:r>
        <w:rPr>
          <w:b/>
          <w:lang w:eastAsia="zh-CN"/>
        </w:rPr>
        <w:t>, and which option is used is up to operator.</w:t>
      </w:r>
    </w:p>
    <w:p w14:paraId="1BFDAE53" w14:textId="77777777" w:rsidR="00206D62" w:rsidRPr="006B4D53" w:rsidRDefault="00206D62" w:rsidP="00206D62">
      <w:pPr>
        <w:pStyle w:val="ListParagraph"/>
        <w:numPr>
          <w:ilvl w:val="0"/>
          <w:numId w:val="23"/>
        </w:numPr>
        <w:spacing w:after="0"/>
        <w:rPr>
          <w:rFonts w:ascii="Times New Roman" w:eastAsia="宋体" w:hAnsi="Times New Roman"/>
          <w:b/>
          <w:sz w:val="20"/>
          <w:szCs w:val="20"/>
          <w:lang w:val="en-GB" w:eastAsia="zh-CN"/>
        </w:rPr>
      </w:pPr>
      <w:r w:rsidRPr="006B4D53">
        <w:rPr>
          <w:rFonts w:ascii="Times New Roman" w:eastAsia="宋体" w:hAnsi="Times New Roman"/>
          <w:b/>
          <w:sz w:val="20"/>
          <w:szCs w:val="20"/>
          <w:lang w:val="en-GB" w:eastAsia="zh-CN"/>
        </w:rPr>
        <w:t>Option 1: AMF de-register the IAB-MT</w:t>
      </w:r>
      <w:r>
        <w:rPr>
          <w:rFonts w:ascii="Times New Roman" w:eastAsia="宋体" w:hAnsi="Times New Roman"/>
          <w:b/>
          <w:sz w:val="20"/>
          <w:szCs w:val="20"/>
          <w:lang w:val="en-GB" w:eastAsia="zh-CN"/>
        </w:rPr>
        <w:t>.</w:t>
      </w:r>
    </w:p>
    <w:p w14:paraId="6E1563D1" w14:textId="77777777" w:rsidR="00206D62" w:rsidRPr="006B4D53" w:rsidRDefault="00206D62" w:rsidP="00206D62">
      <w:pPr>
        <w:pStyle w:val="ListParagraph"/>
        <w:numPr>
          <w:ilvl w:val="0"/>
          <w:numId w:val="23"/>
        </w:numPr>
        <w:spacing w:after="0"/>
        <w:rPr>
          <w:rFonts w:ascii="Times New Roman" w:eastAsia="宋体" w:hAnsi="Times New Roman"/>
          <w:b/>
          <w:sz w:val="20"/>
          <w:szCs w:val="20"/>
          <w:lang w:val="en-GB" w:eastAsia="zh-CN"/>
        </w:rPr>
      </w:pPr>
      <w:r w:rsidRPr="006B4D53">
        <w:rPr>
          <w:rFonts w:ascii="Times New Roman" w:eastAsia="宋体" w:hAnsi="Times New Roman"/>
          <w:b/>
          <w:sz w:val="20"/>
          <w:szCs w:val="20"/>
          <w:lang w:val="en-GB" w:eastAsia="zh-CN"/>
        </w:rPr>
        <w:t>Option 2: AMF initiate UE Context Modification procedure to stop IAB operation, but IAB-MT is still registered.</w:t>
      </w:r>
    </w:p>
    <w:p w14:paraId="214B0A91" w14:textId="77777777" w:rsidR="00206D62" w:rsidRDefault="00206D62" w:rsidP="00DF364E">
      <w:pPr>
        <w:spacing w:after="0"/>
        <w:rPr>
          <w:b/>
          <w:bCs/>
        </w:rPr>
      </w:pPr>
    </w:p>
    <w:p w14:paraId="14383D48" w14:textId="45A33592" w:rsidR="00DF364E" w:rsidRDefault="00DF364E" w:rsidP="00DF364E">
      <w:pPr>
        <w:spacing w:after="0"/>
        <w:rPr>
          <w:b/>
          <w:bCs/>
        </w:rPr>
      </w:pPr>
      <w:r>
        <w:rPr>
          <w:b/>
          <w:bCs/>
        </w:rPr>
        <w:t xml:space="preserve">Proposal </w:t>
      </w:r>
      <w:r w:rsidR="00206D62">
        <w:rPr>
          <w:b/>
          <w:bCs/>
        </w:rPr>
        <w:t>2</w:t>
      </w:r>
      <w:r>
        <w:rPr>
          <w:b/>
          <w:bCs/>
        </w:rPr>
        <w:t xml:space="preserve">: when the </w:t>
      </w:r>
      <w:r>
        <w:rPr>
          <w:b/>
          <w:bCs/>
          <w:i/>
          <w:iCs/>
        </w:rPr>
        <w:t xml:space="preserve">IAB Authorized </w:t>
      </w:r>
      <w:r>
        <w:rPr>
          <w:b/>
          <w:bCs/>
        </w:rPr>
        <w:t>IE is set to “not authorized” in the UE CONTEXT MOFICATION REQUEST message, IAB-donor shall, if supported, i</w:t>
      </w:r>
      <w:r w:rsidRPr="008522B7">
        <w:rPr>
          <w:b/>
          <w:bCs/>
        </w:rPr>
        <w:t>nitiate actions to ensure that the IAB node will not serve the UE(s).</w:t>
      </w:r>
    </w:p>
    <w:p w14:paraId="716128B5" w14:textId="77777777" w:rsidR="003A569A" w:rsidRPr="008522B7" w:rsidRDefault="003A569A" w:rsidP="00DF364E">
      <w:pPr>
        <w:spacing w:after="0"/>
        <w:rPr>
          <w:b/>
          <w:bCs/>
        </w:rPr>
      </w:pPr>
    </w:p>
    <w:p w14:paraId="73AC036E" w14:textId="50B75994" w:rsidR="003A569A" w:rsidRDefault="003A569A" w:rsidP="003A569A">
      <w:pPr>
        <w:spacing w:after="0"/>
        <w:rPr>
          <w:b/>
          <w:bCs/>
        </w:rPr>
      </w:pPr>
      <w:r>
        <w:rPr>
          <w:b/>
          <w:bCs/>
        </w:rPr>
        <w:lastRenderedPageBreak/>
        <w:t xml:space="preserve">Proposal </w:t>
      </w:r>
      <w:r w:rsidR="00206D62">
        <w:rPr>
          <w:b/>
          <w:bCs/>
        </w:rPr>
        <w:t>3</w:t>
      </w:r>
      <w:r>
        <w:rPr>
          <w:b/>
          <w:bCs/>
        </w:rPr>
        <w:t xml:space="preserve">: In NSA, when the </w:t>
      </w:r>
      <w:r>
        <w:rPr>
          <w:b/>
          <w:bCs/>
          <w:i/>
          <w:iCs/>
        </w:rPr>
        <w:t xml:space="preserve">IAB Authorized </w:t>
      </w:r>
      <w:r>
        <w:rPr>
          <w:b/>
          <w:bCs/>
        </w:rPr>
        <w:t>IE is set to “not authorized” in the UE CONTEXT MOFICATION REQUEST message, eNB shall, if supported, i</w:t>
      </w:r>
      <w:r w:rsidRPr="008522B7">
        <w:rPr>
          <w:b/>
          <w:bCs/>
        </w:rPr>
        <w:t>nitiate actions to ensure that the IAB node will not serve the UE(s).</w:t>
      </w:r>
    </w:p>
    <w:p w14:paraId="10BE24A6" w14:textId="77777777" w:rsidR="003A569A" w:rsidRDefault="003A569A" w:rsidP="003A569A">
      <w:pPr>
        <w:spacing w:after="0"/>
        <w:rPr>
          <w:b/>
          <w:bCs/>
        </w:rPr>
      </w:pPr>
    </w:p>
    <w:p w14:paraId="4D9C0587" w14:textId="50B09407" w:rsidR="003850E2" w:rsidRDefault="003A569A" w:rsidP="007A0B76">
      <w:pPr>
        <w:spacing w:after="0"/>
        <w:rPr>
          <w:b/>
          <w:bCs/>
        </w:rPr>
      </w:pPr>
      <w:r>
        <w:rPr>
          <w:b/>
          <w:bCs/>
        </w:rPr>
        <w:t xml:space="preserve">Proposal </w:t>
      </w:r>
      <w:r w:rsidR="00206D62">
        <w:rPr>
          <w:b/>
          <w:bCs/>
        </w:rPr>
        <w:t>4</w:t>
      </w:r>
      <w:r>
        <w:rPr>
          <w:b/>
          <w:bCs/>
        </w:rPr>
        <w:t>: Agree NGAP CR and S1AP CR</w:t>
      </w:r>
    </w:p>
    <w:p w14:paraId="4D633DB3" w14:textId="77777777" w:rsidR="00391DE0" w:rsidRPr="00FB206A" w:rsidRDefault="00391DE0" w:rsidP="007A0B76">
      <w:pPr>
        <w:spacing w:after="0"/>
        <w:rPr>
          <w:b/>
          <w:bCs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4105002E" w14:textId="089F9A4C" w:rsidR="003D5496" w:rsidRDefault="003D5496" w:rsidP="003D5496">
      <w:pPr>
        <w:pStyle w:val="EX"/>
        <w:numPr>
          <w:ilvl w:val="0"/>
          <w:numId w:val="19"/>
        </w:numPr>
      </w:pPr>
      <w:bookmarkStart w:id="0" w:name="_Ref126768460"/>
      <w:r>
        <w:t>TS38.413</w:t>
      </w:r>
      <w:r w:rsidR="00D51E85">
        <w:t xml:space="preserve">, </w:t>
      </w:r>
      <w:r w:rsidR="00D51E85" w:rsidRPr="00D51E85">
        <w:t>NG-RAN; NG Application Protocol (NGAP)</w:t>
      </w:r>
      <w:bookmarkEnd w:id="0"/>
    </w:p>
    <w:p w14:paraId="13833849" w14:textId="00581F91" w:rsidR="00EE5EFE" w:rsidRDefault="00EE5EFE" w:rsidP="003D5496">
      <w:pPr>
        <w:pStyle w:val="EX"/>
        <w:numPr>
          <w:ilvl w:val="0"/>
          <w:numId w:val="19"/>
        </w:numPr>
      </w:pPr>
      <w:bookmarkStart w:id="1" w:name="_Ref126767988"/>
      <w:r>
        <w:t xml:space="preserve">TS36.413, </w:t>
      </w:r>
      <w:r w:rsidR="004901A0" w:rsidRPr="004901A0">
        <w:t>Evolved Universal Terrestrial Radio Access Network (E-UTRAN); S1 Application Protocol (S1AP)</w:t>
      </w:r>
    </w:p>
    <w:p w14:paraId="307E24E0" w14:textId="38F7BFBB" w:rsidR="003D5496" w:rsidRDefault="003D5496" w:rsidP="003D5496">
      <w:pPr>
        <w:pStyle w:val="EX"/>
        <w:numPr>
          <w:ilvl w:val="0"/>
          <w:numId w:val="19"/>
        </w:numPr>
      </w:pPr>
      <w:bookmarkStart w:id="2" w:name="_Ref127366930"/>
      <w:r>
        <w:t>R3-</w:t>
      </w:r>
      <w:r w:rsidR="00C32887" w:rsidRPr="00C32887">
        <w:t>23008</w:t>
      </w:r>
      <w:r w:rsidR="00C32887">
        <w:t>9</w:t>
      </w:r>
      <w:r>
        <w:t xml:space="preserve">, draft NGAP CR for </w:t>
      </w:r>
      <w:r w:rsidRPr="00B4160C">
        <w:t>Clarification on IAB Authorized IE in UE Context Modification procedure</w:t>
      </w:r>
      <w:bookmarkEnd w:id="1"/>
      <w:bookmarkEnd w:id="2"/>
    </w:p>
    <w:p w14:paraId="3A674226" w14:textId="6A565261" w:rsidR="00B4160C" w:rsidRDefault="00882A2E" w:rsidP="0099303A">
      <w:pPr>
        <w:pStyle w:val="EX"/>
        <w:numPr>
          <w:ilvl w:val="0"/>
          <w:numId w:val="19"/>
        </w:numPr>
      </w:pPr>
      <w:bookmarkStart w:id="3" w:name="_Ref126770506"/>
      <w:r>
        <w:t>R3-2</w:t>
      </w:r>
      <w:r w:rsidR="00C32887">
        <w:t>30091</w:t>
      </w:r>
      <w:r>
        <w:t xml:space="preserve">, draft S1AP CR for </w:t>
      </w:r>
      <w:r w:rsidRPr="00B4160C">
        <w:t>Clarification on IAB Authorized IE in UE Context Modification procedure</w:t>
      </w:r>
      <w:bookmarkEnd w:id="3"/>
    </w:p>
    <w:sectPr w:rsidR="00B4160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4786C" w14:textId="77777777" w:rsidR="00D33685" w:rsidRDefault="00D33685">
      <w:r>
        <w:separator/>
      </w:r>
    </w:p>
  </w:endnote>
  <w:endnote w:type="continuationSeparator" w:id="0">
    <w:p w14:paraId="5A10E868" w14:textId="77777777" w:rsidR="00D33685" w:rsidRDefault="00D33685">
      <w:r>
        <w:continuationSeparator/>
      </w:r>
    </w:p>
  </w:endnote>
  <w:endnote w:type="continuationNotice" w:id="1">
    <w:p w14:paraId="7813B9D6" w14:textId="77777777" w:rsidR="00D33685" w:rsidRDefault="00D336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72A45" w14:textId="77777777" w:rsidR="00D33685" w:rsidRDefault="00D33685">
      <w:r>
        <w:separator/>
      </w:r>
    </w:p>
  </w:footnote>
  <w:footnote w:type="continuationSeparator" w:id="0">
    <w:p w14:paraId="6E945707" w14:textId="77777777" w:rsidR="00D33685" w:rsidRDefault="00D33685">
      <w:r>
        <w:continuationSeparator/>
      </w:r>
    </w:p>
  </w:footnote>
  <w:footnote w:type="continuationNotice" w:id="1">
    <w:p w14:paraId="42523811" w14:textId="77777777" w:rsidR="00D33685" w:rsidRDefault="00D336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0B07E8"/>
    <w:multiLevelType w:val="hybridMultilevel"/>
    <w:tmpl w:val="DC24DB06"/>
    <w:lvl w:ilvl="0" w:tplc="2FA06AF2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C050B3"/>
    <w:multiLevelType w:val="hybridMultilevel"/>
    <w:tmpl w:val="2224FFEC"/>
    <w:lvl w:ilvl="0" w:tplc="BAEC9D0A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1F76909"/>
    <w:multiLevelType w:val="multilevel"/>
    <w:tmpl w:val="11F769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C7B3E"/>
    <w:multiLevelType w:val="hybridMultilevel"/>
    <w:tmpl w:val="3FF03272"/>
    <w:lvl w:ilvl="0" w:tplc="2F3EC7B0">
      <w:start w:val="3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1EA55BCB"/>
    <w:multiLevelType w:val="multilevel"/>
    <w:tmpl w:val="A27CFBE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9349A"/>
    <w:multiLevelType w:val="hybridMultilevel"/>
    <w:tmpl w:val="A830C474"/>
    <w:lvl w:ilvl="0" w:tplc="BA1EA118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257F2A83"/>
    <w:multiLevelType w:val="hybridMultilevel"/>
    <w:tmpl w:val="7CE4C19E"/>
    <w:lvl w:ilvl="0" w:tplc="FAFC4F74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45F1C"/>
    <w:multiLevelType w:val="hybridMultilevel"/>
    <w:tmpl w:val="8B04B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E38057B"/>
    <w:multiLevelType w:val="hybridMultilevel"/>
    <w:tmpl w:val="60BC6A42"/>
    <w:lvl w:ilvl="0" w:tplc="06ECCD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793F3A"/>
    <w:multiLevelType w:val="hybridMultilevel"/>
    <w:tmpl w:val="0E30BEA2"/>
    <w:lvl w:ilvl="0" w:tplc="E1B694B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82622"/>
    <w:multiLevelType w:val="multilevel"/>
    <w:tmpl w:val="2A76650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58A3178"/>
    <w:multiLevelType w:val="multilevel"/>
    <w:tmpl w:val="658A317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F04A1"/>
    <w:multiLevelType w:val="hybridMultilevel"/>
    <w:tmpl w:val="012A2182"/>
    <w:lvl w:ilvl="0" w:tplc="2D2E92D2"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7FE24B32"/>
    <w:multiLevelType w:val="hybridMultilevel"/>
    <w:tmpl w:val="48FC5C52"/>
    <w:lvl w:ilvl="0" w:tplc="E9447C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9"/>
  </w:num>
  <w:num w:numId="6">
    <w:abstractNumId w:val="13"/>
  </w:num>
  <w:num w:numId="7">
    <w:abstractNumId w:val="14"/>
  </w:num>
  <w:num w:numId="8">
    <w:abstractNumId w:val="12"/>
  </w:num>
  <w:num w:numId="9">
    <w:abstractNumId w:val="7"/>
  </w:num>
  <w:num w:numId="10">
    <w:abstractNumId w:val="15"/>
  </w:num>
  <w:num w:numId="11">
    <w:abstractNumId w:val="21"/>
  </w:num>
  <w:num w:numId="12">
    <w:abstractNumId w:val="3"/>
  </w:num>
  <w:num w:numId="13">
    <w:abstractNumId w:val="5"/>
  </w:num>
  <w:num w:numId="14">
    <w:abstractNumId w:val="6"/>
  </w:num>
  <w:num w:numId="15">
    <w:abstractNumId w:val="16"/>
  </w:num>
  <w:num w:numId="16">
    <w:abstractNumId w:val="20"/>
  </w:num>
  <w:num w:numId="17">
    <w:abstractNumId w:val="4"/>
  </w:num>
  <w:num w:numId="18">
    <w:abstractNumId w:val="19"/>
  </w:num>
  <w:num w:numId="19">
    <w:abstractNumId w:val="18"/>
  </w:num>
  <w:num w:numId="20">
    <w:abstractNumId w:val="10"/>
  </w:num>
  <w:num w:numId="21">
    <w:abstractNumId w:val="8"/>
  </w:num>
  <w:num w:numId="22">
    <w:abstractNumId w:val="17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1B3"/>
    <w:rsid w:val="000042B1"/>
    <w:rsid w:val="0001425F"/>
    <w:rsid w:val="00016557"/>
    <w:rsid w:val="00023C40"/>
    <w:rsid w:val="000330D2"/>
    <w:rsid w:val="00033397"/>
    <w:rsid w:val="00033F08"/>
    <w:rsid w:val="00040095"/>
    <w:rsid w:val="000440A9"/>
    <w:rsid w:val="00046922"/>
    <w:rsid w:val="000528AC"/>
    <w:rsid w:val="00065268"/>
    <w:rsid w:val="000662A4"/>
    <w:rsid w:val="00072152"/>
    <w:rsid w:val="000733B5"/>
    <w:rsid w:val="00073C9C"/>
    <w:rsid w:val="0007402B"/>
    <w:rsid w:val="00076412"/>
    <w:rsid w:val="00080512"/>
    <w:rsid w:val="000812AB"/>
    <w:rsid w:val="00083CC5"/>
    <w:rsid w:val="00090468"/>
    <w:rsid w:val="00094568"/>
    <w:rsid w:val="0009795D"/>
    <w:rsid w:val="000B5A81"/>
    <w:rsid w:val="000B7BCF"/>
    <w:rsid w:val="000C522B"/>
    <w:rsid w:val="000D4F44"/>
    <w:rsid w:val="000D58AB"/>
    <w:rsid w:val="000E689A"/>
    <w:rsid w:val="000F1BB3"/>
    <w:rsid w:val="000F2028"/>
    <w:rsid w:val="0010080B"/>
    <w:rsid w:val="00112F1A"/>
    <w:rsid w:val="001132D1"/>
    <w:rsid w:val="00127392"/>
    <w:rsid w:val="0014008A"/>
    <w:rsid w:val="00143B90"/>
    <w:rsid w:val="00145075"/>
    <w:rsid w:val="0016094A"/>
    <w:rsid w:val="00164C79"/>
    <w:rsid w:val="001741A0"/>
    <w:rsid w:val="001746DE"/>
    <w:rsid w:val="00175D1B"/>
    <w:rsid w:val="00175FA0"/>
    <w:rsid w:val="001766CC"/>
    <w:rsid w:val="00182C1A"/>
    <w:rsid w:val="00186886"/>
    <w:rsid w:val="00193D4E"/>
    <w:rsid w:val="00194CD0"/>
    <w:rsid w:val="001A5B19"/>
    <w:rsid w:val="001A6119"/>
    <w:rsid w:val="001B49C9"/>
    <w:rsid w:val="001C1196"/>
    <w:rsid w:val="001C23F4"/>
    <w:rsid w:val="001C4F79"/>
    <w:rsid w:val="001C5D0C"/>
    <w:rsid w:val="001E4E67"/>
    <w:rsid w:val="001F168B"/>
    <w:rsid w:val="001F7831"/>
    <w:rsid w:val="002037C0"/>
    <w:rsid w:val="0020383C"/>
    <w:rsid w:val="00204045"/>
    <w:rsid w:val="00205439"/>
    <w:rsid w:val="00206D62"/>
    <w:rsid w:val="0020712B"/>
    <w:rsid w:val="00210362"/>
    <w:rsid w:val="00211087"/>
    <w:rsid w:val="0022606D"/>
    <w:rsid w:val="00231728"/>
    <w:rsid w:val="00232F17"/>
    <w:rsid w:val="00244A05"/>
    <w:rsid w:val="00245BA1"/>
    <w:rsid w:val="0024669C"/>
    <w:rsid w:val="00246C22"/>
    <w:rsid w:val="00250404"/>
    <w:rsid w:val="00250F03"/>
    <w:rsid w:val="00251BBD"/>
    <w:rsid w:val="0025222D"/>
    <w:rsid w:val="00256B74"/>
    <w:rsid w:val="002610D8"/>
    <w:rsid w:val="00265484"/>
    <w:rsid w:val="0026597C"/>
    <w:rsid w:val="00270645"/>
    <w:rsid w:val="002747EC"/>
    <w:rsid w:val="00284924"/>
    <w:rsid w:val="002855BF"/>
    <w:rsid w:val="002B2988"/>
    <w:rsid w:val="002B3018"/>
    <w:rsid w:val="002B3983"/>
    <w:rsid w:val="002E2539"/>
    <w:rsid w:val="002F0D22"/>
    <w:rsid w:val="002F1B86"/>
    <w:rsid w:val="002F24E7"/>
    <w:rsid w:val="002F2814"/>
    <w:rsid w:val="002F6932"/>
    <w:rsid w:val="00311B17"/>
    <w:rsid w:val="00311D63"/>
    <w:rsid w:val="00312CB4"/>
    <w:rsid w:val="003172DC"/>
    <w:rsid w:val="0031799D"/>
    <w:rsid w:val="00322898"/>
    <w:rsid w:val="00325AE3"/>
    <w:rsid w:val="00326069"/>
    <w:rsid w:val="00326258"/>
    <w:rsid w:val="003266E8"/>
    <w:rsid w:val="0032757E"/>
    <w:rsid w:val="00330483"/>
    <w:rsid w:val="00341002"/>
    <w:rsid w:val="0034747E"/>
    <w:rsid w:val="003531AD"/>
    <w:rsid w:val="0035462D"/>
    <w:rsid w:val="003563F6"/>
    <w:rsid w:val="0036459E"/>
    <w:rsid w:val="00364B41"/>
    <w:rsid w:val="00376BBC"/>
    <w:rsid w:val="00382EF7"/>
    <w:rsid w:val="00383096"/>
    <w:rsid w:val="00384AD6"/>
    <w:rsid w:val="003850E2"/>
    <w:rsid w:val="0038583E"/>
    <w:rsid w:val="00391DE0"/>
    <w:rsid w:val="0039346C"/>
    <w:rsid w:val="00395A71"/>
    <w:rsid w:val="003A41EF"/>
    <w:rsid w:val="003A569A"/>
    <w:rsid w:val="003B155A"/>
    <w:rsid w:val="003B40AD"/>
    <w:rsid w:val="003B68CF"/>
    <w:rsid w:val="003B7DAA"/>
    <w:rsid w:val="003C1C8F"/>
    <w:rsid w:val="003C31CD"/>
    <w:rsid w:val="003C4E37"/>
    <w:rsid w:val="003C75D0"/>
    <w:rsid w:val="003D5496"/>
    <w:rsid w:val="003D60E3"/>
    <w:rsid w:val="003E16BE"/>
    <w:rsid w:val="003E58D6"/>
    <w:rsid w:val="003E64FD"/>
    <w:rsid w:val="003E7B74"/>
    <w:rsid w:val="003F36F2"/>
    <w:rsid w:val="003F4E28"/>
    <w:rsid w:val="003F6056"/>
    <w:rsid w:val="004006E8"/>
    <w:rsid w:val="00400B03"/>
    <w:rsid w:val="00401855"/>
    <w:rsid w:val="00401AE9"/>
    <w:rsid w:val="00403EA4"/>
    <w:rsid w:val="00421179"/>
    <w:rsid w:val="00430F13"/>
    <w:rsid w:val="00431691"/>
    <w:rsid w:val="00433AE5"/>
    <w:rsid w:val="004440AF"/>
    <w:rsid w:val="00445230"/>
    <w:rsid w:val="004462C9"/>
    <w:rsid w:val="00446C3A"/>
    <w:rsid w:val="004540D8"/>
    <w:rsid w:val="004607B8"/>
    <w:rsid w:val="00465587"/>
    <w:rsid w:val="004669CB"/>
    <w:rsid w:val="0047660A"/>
    <w:rsid w:val="00477455"/>
    <w:rsid w:val="00484063"/>
    <w:rsid w:val="00484697"/>
    <w:rsid w:val="00485620"/>
    <w:rsid w:val="004901A0"/>
    <w:rsid w:val="004916B9"/>
    <w:rsid w:val="0049363E"/>
    <w:rsid w:val="00493D3F"/>
    <w:rsid w:val="004A1F7B"/>
    <w:rsid w:val="004A65AD"/>
    <w:rsid w:val="004C44D2"/>
    <w:rsid w:val="004D2D50"/>
    <w:rsid w:val="004D3578"/>
    <w:rsid w:val="004D380D"/>
    <w:rsid w:val="004D5263"/>
    <w:rsid w:val="004E213A"/>
    <w:rsid w:val="004E21FD"/>
    <w:rsid w:val="004E284A"/>
    <w:rsid w:val="004E5A2F"/>
    <w:rsid w:val="004F071D"/>
    <w:rsid w:val="004F089A"/>
    <w:rsid w:val="004F4540"/>
    <w:rsid w:val="004F47A3"/>
    <w:rsid w:val="004F562D"/>
    <w:rsid w:val="004F73A7"/>
    <w:rsid w:val="00502A31"/>
    <w:rsid w:val="00503171"/>
    <w:rsid w:val="00506C28"/>
    <w:rsid w:val="00511267"/>
    <w:rsid w:val="005122F4"/>
    <w:rsid w:val="00534DA0"/>
    <w:rsid w:val="005377D0"/>
    <w:rsid w:val="005407D4"/>
    <w:rsid w:val="00543E6C"/>
    <w:rsid w:val="0055360C"/>
    <w:rsid w:val="00553DFE"/>
    <w:rsid w:val="00565087"/>
    <w:rsid w:val="0056573F"/>
    <w:rsid w:val="00565C77"/>
    <w:rsid w:val="00571279"/>
    <w:rsid w:val="005751B7"/>
    <w:rsid w:val="00575611"/>
    <w:rsid w:val="00580C86"/>
    <w:rsid w:val="00586B3A"/>
    <w:rsid w:val="00587EA0"/>
    <w:rsid w:val="00595006"/>
    <w:rsid w:val="005A13AB"/>
    <w:rsid w:val="005A49C6"/>
    <w:rsid w:val="005B38DC"/>
    <w:rsid w:val="005C766E"/>
    <w:rsid w:val="005C7CD5"/>
    <w:rsid w:val="005D24BB"/>
    <w:rsid w:val="005D574E"/>
    <w:rsid w:val="005F2AE6"/>
    <w:rsid w:val="005F4236"/>
    <w:rsid w:val="005F78C1"/>
    <w:rsid w:val="005F7DD0"/>
    <w:rsid w:val="00601C84"/>
    <w:rsid w:val="0060323F"/>
    <w:rsid w:val="00605D32"/>
    <w:rsid w:val="00611566"/>
    <w:rsid w:val="00612A98"/>
    <w:rsid w:val="006177C3"/>
    <w:rsid w:val="006259B5"/>
    <w:rsid w:val="00646D99"/>
    <w:rsid w:val="00647883"/>
    <w:rsid w:val="00656910"/>
    <w:rsid w:val="006574C0"/>
    <w:rsid w:val="00674BEA"/>
    <w:rsid w:val="006806B8"/>
    <w:rsid w:val="00683329"/>
    <w:rsid w:val="00686A70"/>
    <w:rsid w:val="00687795"/>
    <w:rsid w:val="00696821"/>
    <w:rsid w:val="006A6814"/>
    <w:rsid w:val="006A77B3"/>
    <w:rsid w:val="006B3C06"/>
    <w:rsid w:val="006B4D53"/>
    <w:rsid w:val="006B63E8"/>
    <w:rsid w:val="006B7C14"/>
    <w:rsid w:val="006C66D8"/>
    <w:rsid w:val="006D1E24"/>
    <w:rsid w:val="006D35DE"/>
    <w:rsid w:val="006D36A0"/>
    <w:rsid w:val="006E1057"/>
    <w:rsid w:val="006E1417"/>
    <w:rsid w:val="006E26B6"/>
    <w:rsid w:val="006E65F7"/>
    <w:rsid w:val="006F6A2C"/>
    <w:rsid w:val="00701AD3"/>
    <w:rsid w:val="007052A8"/>
    <w:rsid w:val="007069DC"/>
    <w:rsid w:val="00707FE7"/>
    <w:rsid w:val="00710201"/>
    <w:rsid w:val="00715CA3"/>
    <w:rsid w:val="00716AB0"/>
    <w:rsid w:val="00716C0A"/>
    <w:rsid w:val="0072073A"/>
    <w:rsid w:val="007342B5"/>
    <w:rsid w:val="00734A5B"/>
    <w:rsid w:val="007363F0"/>
    <w:rsid w:val="0074201B"/>
    <w:rsid w:val="00744E76"/>
    <w:rsid w:val="007530E1"/>
    <w:rsid w:val="00753DEA"/>
    <w:rsid w:val="00757D40"/>
    <w:rsid w:val="00760C97"/>
    <w:rsid w:val="00761C24"/>
    <w:rsid w:val="00763837"/>
    <w:rsid w:val="007662B5"/>
    <w:rsid w:val="007763ED"/>
    <w:rsid w:val="0077674E"/>
    <w:rsid w:val="00781F0F"/>
    <w:rsid w:val="007840E8"/>
    <w:rsid w:val="007844A6"/>
    <w:rsid w:val="0078727C"/>
    <w:rsid w:val="0079049D"/>
    <w:rsid w:val="00790AB9"/>
    <w:rsid w:val="00792D4E"/>
    <w:rsid w:val="00793DC5"/>
    <w:rsid w:val="00796823"/>
    <w:rsid w:val="007A0B76"/>
    <w:rsid w:val="007A2E55"/>
    <w:rsid w:val="007B18D8"/>
    <w:rsid w:val="007B568A"/>
    <w:rsid w:val="007B6D74"/>
    <w:rsid w:val="007C095F"/>
    <w:rsid w:val="007C1F5E"/>
    <w:rsid w:val="007C2DD0"/>
    <w:rsid w:val="007C5C27"/>
    <w:rsid w:val="007C77D7"/>
    <w:rsid w:val="007C7A2A"/>
    <w:rsid w:val="007D222B"/>
    <w:rsid w:val="007D49A1"/>
    <w:rsid w:val="007E0D10"/>
    <w:rsid w:val="007E4297"/>
    <w:rsid w:val="007F2E08"/>
    <w:rsid w:val="007F3E0C"/>
    <w:rsid w:val="007F5859"/>
    <w:rsid w:val="008024FA"/>
    <w:rsid w:val="008028A4"/>
    <w:rsid w:val="00813245"/>
    <w:rsid w:val="008176F0"/>
    <w:rsid w:val="00827341"/>
    <w:rsid w:val="00840DE0"/>
    <w:rsid w:val="008415E0"/>
    <w:rsid w:val="00842C45"/>
    <w:rsid w:val="00847CD0"/>
    <w:rsid w:val="008522B7"/>
    <w:rsid w:val="00855F54"/>
    <w:rsid w:val="008607A8"/>
    <w:rsid w:val="00861C82"/>
    <w:rsid w:val="0086354A"/>
    <w:rsid w:val="008700BD"/>
    <w:rsid w:val="00870F34"/>
    <w:rsid w:val="00870F86"/>
    <w:rsid w:val="008768CA"/>
    <w:rsid w:val="00877EF9"/>
    <w:rsid w:val="00880559"/>
    <w:rsid w:val="00882A2E"/>
    <w:rsid w:val="00892F5B"/>
    <w:rsid w:val="008B5306"/>
    <w:rsid w:val="008B66B5"/>
    <w:rsid w:val="008B71E6"/>
    <w:rsid w:val="008C13AB"/>
    <w:rsid w:val="008C2E2A"/>
    <w:rsid w:val="008C3057"/>
    <w:rsid w:val="008C4A1D"/>
    <w:rsid w:val="008C5478"/>
    <w:rsid w:val="008D2E4D"/>
    <w:rsid w:val="008D37A5"/>
    <w:rsid w:val="008D6EE0"/>
    <w:rsid w:val="008E09C5"/>
    <w:rsid w:val="008E7085"/>
    <w:rsid w:val="008F01FF"/>
    <w:rsid w:val="008F268A"/>
    <w:rsid w:val="008F348E"/>
    <w:rsid w:val="008F396F"/>
    <w:rsid w:val="008F3DCD"/>
    <w:rsid w:val="008F5B44"/>
    <w:rsid w:val="00900000"/>
    <w:rsid w:val="0090271F"/>
    <w:rsid w:val="00902DB9"/>
    <w:rsid w:val="00902DD0"/>
    <w:rsid w:val="009031A6"/>
    <w:rsid w:val="0090466A"/>
    <w:rsid w:val="00905092"/>
    <w:rsid w:val="00911700"/>
    <w:rsid w:val="00923655"/>
    <w:rsid w:val="00933475"/>
    <w:rsid w:val="009339CB"/>
    <w:rsid w:val="00936071"/>
    <w:rsid w:val="009376CD"/>
    <w:rsid w:val="00940212"/>
    <w:rsid w:val="0094045C"/>
    <w:rsid w:val="00941298"/>
    <w:rsid w:val="00942EC2"/>
    <w:rsid w:val="009502BC"/>
    <w:rsid w:val="00952674"/>
    <w:rsid w:val="00955C93"/>
    <w:rsid w:val="00956F11"/>
    <w:rsid w:val="00957FDE"/>
    <w:rsid w:val="0096163D"/>
    <w:rsid w:val="00961B32"/>
    <w:rsid w:val="00962509"/>
    <w:rsid w:val="00963ABC"/>
    <w:rsid w:val="00965451"/>
    <w:rsid w:val="0097092C"/>
    <w:rsid w:val="00970DB3"/>
    <w:rsid w:val="0097219F"/>
    <w:rsid w:val="009747C5"/>
    <w:rsid w:val="00974BB0"/>
    <w:rsid w:val="00975BCD"/>
    <w:rsid w:val="0098340B"/>
    <w:rsid w:val="009928A9"/>
    <w:rsid w:val="0099671C"/>
    <w:rsid w:val="009A0AF3"/>
    <w:rsid w:val="009A4B4D"/>
    <w:rsid w:val="009A51BE"/>
    <w:rsid w:val="009A6247"/>
    <w:rsid w:val="009B07CD"/>
    <w:rsid w:val="009B2579"/>
    <w:rsid w:val="009B46EB"/>
    <w:rsid w:val="009C19E9"/>
    <w:rsid w:val="009C391E"/>
    <w:rsid w:val="009D0391"/>
    <w:rsid w:val="009D74A6"/>
    <w:rsid w:val="009E0E87"/>
    <w:rsid w:val="009E4428"/>
    <w:rsid w:val="009E5E5C"/>
    <w:rsid w:val="009E6756"/>
    <w:rsid w:val="009F165F"/>
    <w:rsid w:val="009F16D7"/>
    <w:rsid w:val="00A0342C"/>
    <w:rsid w:val="00A10F02"/>
    <w:rsid w:val="00A12BB2"/>
    <w:rsid w:val="00A14ACF"/>
    <w:rsid w:val="00A204CA"/>
    <w:rsid w:val="00A209D6"/>
    <w:rsid w:val="00A20C38"/>
    <w:rsid w:val="00A22738"/>
    <w:rsid w:val="00A3507F"/>
    <w:rsid w:val="00A36F5F"/>
    <w:rsid w:val="00A37EC7"/>
    <w:rsid w:val="00A430EC"/>
    <w:rsid w:val="00A448D2"/>
    <w:rsid w:val="00A46513"/>
    <w:rsid w:val="00A5038E"/>
    <w:rsid w:val="00A53724"/>
    <w:rsid w:val="00A54B2B"/>
    <w:rsid w:val="00A55FFE"/>
    <w:rsid w:val="00A703B6"/>
    <w:rsid w:val="00A72E7A"/>
    <w:rsid w:val="00A769C2"/>
    <w:rsid w:val="00A80E50"/>
    <w:rsid w:val="00A82346"/>
    <w:rsid w:val="00A869FD"/>
    <w:rsid w:val="00A922DC"/>
    <w:rsid w:val="00A94854"/>
    <w:rsid w:val="00A952C6"/>
    <w:rsid w:val="00A962FD"/>
    <w:rsid w:val="00A9671C"/>
    <w:rsid w:val="00AA0F4D"/>
    <w:rsid w:val="00AA1553"/>
    <w:rsid w:val="00AB72A8"/>
    <w:rsid w:val="00AC3EF4"/>
    <w:rsid w:val="00AC6B9C"/>
    <w:rsid w:val="00AC7BD6"/>
    <w:rsid w:val="00AD535A"/>
    <w:rsid w:val="00AE282D"/>
    <w:rsid w:val="00AF0C02"/>
    <w:rsid w:val="00AF184E"/>
    <w:rsid w:val="00AF390C"/>
    <w:rsid w:val="00AF6E24"/>
    <w:rsid w:val="00B013B7"/>
    <w:rsid w:val="00B043F1"/>
    <w:rsid w:val="00B05380"/>
    <w:rsid w:val="00B05962"/>
    <w:rsid w:val="00B070A2"/>
    <w:rsid w:val="00B15449"/>
    <w:rsid w:val="00B16C2F"/>
    <w:rsid w:val="00B2063A"/>
    <w:rsid w:val="00B21669"/>
    <w:rsid w:val="00B2463D"/>
    <w:rsid w:val="00B264E5"/>
    <w:rsid w:val="00B27303"/>
    <w:rsid w:val="00B30D62"/>
    <w:rsid w:val="00B4160C"/>
    <w:rsid w:val="00B46B02"/>
    <w:rsid w:val="00B47FD1"/>
    <w:rsid w:val="00B516BB"/>
    <w:rsid w:val="00B54FE3"/>
    <w:rsid w:val="00B7538C"/>
    <w:rsid w:val="00B75BC4"/>
    <w:rsid w:val="00B76828"/>
    <w:rsid w:val="00B76A56"/>
    <w:rsid w:val="00B84DB2"/>
    <w:rsid w:val="00B9108A"/>
    <w:rsid w:val="00BA50DB"/>
    <w:rsid w:val="00BA6669"/>
    <w:rsid w:val="00BB6DA1"/>
    <w:rsid w:val="00BC3555"/>
    <w:rsid w:val="00BD7EA3"/>
    <w:rsid w:val="00BE217F"/>
    <w:rsid w:val="00BF4BCD"/>
    <w:rsid w:val="00C006F6"/>
    <w:rsid w:val="00C030E0"/>
    <w:rsid w:val="00C0428A"/>
    <w:rsid w:val="00C04DB9"/>
    <w:rsid w:val="00C12B51"/>
    <w:rsid w:val="00C171C5"/>
    <w:rsid w:val="00C24650"/>
    <w:rsid w:val="00C25465"/>
    <w:rsid w:val="00C25BC8"/>
    <w:rsid w:val="00C2617B"/>
    <w:rsid w:val="00C26F74"/>
    <w:rsid w:val="00C32887"/>
    <w:rsid w:val="00C33079"/>
    <w:rsid w:val="00C35DB6"/>
    <w:rsid w:val="00C41893"/>
    <w:rsid w:val="00C41F12"/>
    <w:rsid w:val="00C421E2"/>
    <w:rsid w:val="00C47FFB"/>
    <w:rsid w:val="00C52D5D"/>
    <w:rsid w:val="00C55A12"/>
    <w:rsid w:val="00C63D67"/>
    <w:rsid w:val="00C6553E"/>
    <w:rsid w:val="00C77933"/>
    <w:rsid w:val="00C827EC"/>
    <w:rsid w:val="00C831C2"/>
    <w:rsid w:val="00C83A13"/>
    <w:rsid w:val="00C86E7D"/>
    <w:rsid w:val="00C86F10"/>
    <w:rsid w:val="00C9068C"/>
    <w:rsid w:val="00C92967"/>
    <w:rsid w:val="00C930F2"/>
    <w:rsid w:val="00CA0620"/>
    <w:rsid w:val="00CA140C"/>
    <w:rsid w:val="00CA16CD"/>
    <w:rsid w:val="00CA344F"/>
    <w:rsid w:val="00CA3D0C"/>
    <w:rsid w:val="00CA654B"/>
    <w:rsid w:val="00CB72B8"/>
    <w:rsid w:val="00CC4B9A"/>
    <w:rsid w:val="00CC4D39"/>
    <w:rsid w:val="00CC55D7"/>
    <w:rsid w:val="00CD0BA8"/>
    <w:rsid w:val="00CD1639"/>
    <w:rsid w:val="00CD4C7B"/>
    <w:rsid w:val="00CD58FE"/>
    <w:rsid w:val="00CE0952"/>
    <w:rsid w:val="00CF7A6A"/>
    <w:rsid w:val="00D035B7"/>
    <w:rsid w:val="00D10847"/>
    <w:rsid w:val="00D209FD"/>
    <w:rsid w:val="00D262FA"/>
    <w:rsid w:val="00D33685"/>
    <w:rsid w:val="00D33BE3"/>
    <w:rsid w:val="00D36772"/>
    <w:rsid w:val="00D3792D"/>
    <w:rsid w:val="00D43D38"/>
    <w:rsid w:val="00D459C5"/>
    <w:rsid w:val="00D46983"/>
    <w:rsid w:val="00D50FD4"/>
    <w:rsid w:val="00D51821"/>
    <w:rsid w:val="00D51E85"/>
    <w:rsid w:val="00D52DE8"/>
    <w:rsid w:val="00D5349A"/>
    <w:rsid w:val="00D55E47"/>
    <w:rsid w:val="00D62E19"/>
    <w:rsid w:val="00D65270"/>
    <w:rsid w:val="00D66700"/>
    <w:rsid w:val="00D67CD1"/>
    <w:rsid w:val="00D738D6"/>
    <w:rsid w:val="00D73E08"/>
    <w:rsid w:val="00D74D14"/>
    <w:rsid w:val="00D75E85"/>
    <w:rsid w:val="00D80795"/>
    <w:rsid w:val="00D828C5"/>
    <w:rsid w:val="00D854BE"/>
    <w:rsid w:val="00D87E00"/>
    <w:rsid w:val="00D9134D"/>
    <w:rsid w:val="00D9164F"/>
    <w:rsid w:val="00D96328"/>
    <w:rsid w:val="00D96D11"/>
    <w:rsid w:val="00DA11D3"/>
    <w:rsid w:val="00DA26A9"/>
    <w:rsid w:val="00DA3073"/>
    <w:rsid w:val="00DA5F93"/>
    <w:rsid w:val="00DA7A03"/>
    <w:rsid w:val="00DB07BC"/>
    <w:rsid w:val="00DB0DB8"/>
    <w:rsid w:val="00DB1818"/>
    <w:rsid w:val="00DB43D2"/>
    <w:rsid w:val="00DB7EB1"/>
    <w:rsid w:val="00DC1135"/>
    <w:rsid w:val="00DC309B"/>
    <w:rsid w:val="00DC3C06"/>
    <w:rsid w:val="00DC4DA2"/>
    <w:rsid w:val="00DC5261"/>
    <w:rsid w:val="00DC5EF5"/>
    <w:rsid w:val="00DD00E9"/>
    <w:rsid w:val="00DD7CBD"/>
    <w:rsid w:val="00DE25D2"/>
    <w:rsid w:val="00DF364E"/>
    <w:rsid w:val="00DF4348"/>
    <w:rsid w:val="00DF7C20"/>
    <w:rsid w:val="00E071C2"/>
    <w:rsid w:val="00E1213A"/>
    <w:rsid w:val="00E1365C"/>
    <w:rsid w:val="00E2100C"/>
    <w:rsid w:val="00E2532F"/>
    <w:rsid w:val="00E36C24"/>
    <w:rsid w:val="00E40D20"/>
    <w:rsid w:val="00E44585"/>
    <w:rsid w:val="00E46C08"/>
    <w:rsid w:val="00E471CF"/>
    <w:rsid w:val="00E52554"/>
    <w:rsid w:val="00E53663"/>
    <w:rsid w:val="00E60231"/>
    <w:rsid w:val="00E62835"/>
    <w:rsid w:val="00E77645"/>
    <w:rsid w:val="00E83697"/>
    <w:rsid w:val="00E85119"/>
    <w:rsid w:val="00E859B6"/>
    <w:rsid w:val="00E85FC0"/>
    <w:rsid w:val="00E87AD4"/>
    <w:rsid w:val="00E9279A"/>
    <w:rsid w:val="00E972A6"/>
    <w:rsid w:val="00EA0C61"/>
    <w:rsid w:val="00EA4DF9"/>
    <w:rsid w:val="00EA66C9"/>
    <w:rsid w:val="00EA68F2"/>
    <w:rsid w:val="00EB5D32"/>
    <w:rsid w:val="00EC257B"/>
    <w:rsid w:val="00EC33F6"/>
    <w:rsid w:val="00EC472A"/>
    <w:rsid w:val="00EC4A25"/>
    <w:rsid w:val="00EC4C25"/>
    <w:rsid w:val="00EC6758"/>
    <w:rsid w:val="00EE1230"/>
    <w:rsid w:val="00EE1977"/>
    <w:rsid w:val="00EE2CC2"/>
    <w:rsid w:val="00EE5EFE"/>
    <w:rsid w:val="00EF2FB4"/>
    <w:rsid w:val="00EF612C"/>
    <w:rsid w:val="00F025A2"/>
    <w:rsid w:val="00F036E9"/>
    <w:rsid w:val="00F07366"/>
    <w:rsid w:val="00F07388"/>
    <w:rsid w:val="00F07F68"/>
    <w:rsid w:val="00F1459E"/>
    <w:rsid w:val="00F2026E"/>
    <w:rsid w:val="00F2210A"/>
    <w:rsid w:val="00F31372"/>
    <w:rsid w:val="00F33638"/>
    <w:rsid w:val="00F37743"/>
    <w:rsid w:val="00F46C34"/>
    <w:rsid w:val="00F50183"/>
    <w:rsid w:val="00F54A3D"/>
    <w:rsid w:val="00F54CB0"/>
    <w:rsid w:val="00F579CD"/>
    <w:rsid w:val="00F614E8"/>
    <w:rsid w:val="00F653B8"/>
    <w:rsid w:val="00F662DB"/>
    <w:rsid w:val="00F66B96"/>
    <w:rsid w:val="00F71B89"/>
    <w:rsid w:val="00F7353C"/>
    <w:rsid w:val="00F73945"/>
    <w:rsid w:val="00F741CF"/>
    <w:rsid w:val="00F76277"/>
    <w:rsid w:val="00F76F8F"/>
    <w:rsid w:val="00F80969"/>
    <w:rsid w:val="00F87257"/>
    <w:rsid w:val="00F941DF"/>
    <w:rsid w:val="00F96989"/>
    <w:rsid w:val="00FA1266"/>
    <w:rsid w:val="00FA235B"/>
    <w:rsid w:val="00FA4416"/>
    <w:rsid w:val="00FB206A"/>
    <w:rsid w:val="00FB36FA"/>
    <w:rsid w:val="00FB66B8"/>
    <w:rsid w:val="00FC1192"/>
    <w:rsid w:val="00FD1D58"/>
    <w:rsid w:val="00FE106D"/>
    <w:rsid w:val="00FE251B"/>
    <w:rsid w:val="00FE5225"/>
    <w:rsid w:val="00FF3E56"/>
    <w:rsid w:val="00FF3EA7"/>
    <w:rsid w:val="01E068C6"/>
    <w:rsid w:val="322AF0C6"/>
    <w:rsid w:val="351A7625"/>
    <w:rsid w:val="5927A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5391806E-FD67-4DAB-A9D4-3AE649D16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B1Char">
    <w:name w:val="B1 Char"/>
    <w:link w:val="B1"/>
    <w:qFormat/>
    <w:rsid w:val="004669CB"/>
    <w:rPr>
      <w:lang w:eastAsia="en-US"/>
    </w:rPr>
  </w:style>
  <w:style w:type="character" w:customStyle="1" w:styleId="EXChar">
    <w:name w:val="EX Char"/>
    <w:link w:val="EX"/>
    <w:rsid w:val="003D549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5AIRPNAIUNRU-1156379521-3243</_dlc_DocId>
    <_dlc_DocIdUrl xmlns="71c5aaf6-e6ce-465b-b873-5148d2a4c105">
      <Url>https://nokia.sharepoint.com/sites/c5g/e2earch/_layouts/15/DocIdRedir.aspx?ID=5AIRPNAIUNRU-1156379521-3243</Url>
      <Description>5AIRPNAIUNRU-1156379521-3243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934BC8-203C-42C1-AA30-6919054DF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6589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12</cp:revision>
  <dcterms:created xsi:type="dcterms:W3CDTF">2023-02-09T06:51:00Z</dcterms:created>
  <dcterms:modified xsi:type="dcterms:W3CDTF">2023-02-15T07:21:00Z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09d331c9-c223-4a99-b22a-89e0fa9adcd3</vt:lpwstr>
  </property>
</Properties>
</file>